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7E36" w14:textId="77777777" w:rsidR="00441886" w:rsidRPr="00441886" w:rsidRDefault="00441886" w:rsidP="00441886">
      <w:pPr>
        <w:spacing w:line="240" w:lineRule="auto"/>
        <w:rPr>
          <w:rFonts w:ascii="Times New Roman" w:hAnsi="Times New Roman" w:cs="Times New Roman"/>
          <w:b/>
          <w:bCs/>
        </w:rPr>
      </w:pPr>
      <w:r w:rsidRPr="00441886">
        <w:rPr>
          <w:rFonts w:ascii="Times New Roman" w:hAnsi="Times New Roman" w:cs="Times New Roman"/>
          <w:b/>
          <w:bCs/>
        </w:rPr>
        <w:t xml:space="preserve">IN THE CIRCUIT COURT OF THE ELEVENTH </w:t>
      </w:r>
    </w:p>
    <w:p w14:paraId="3AA7CCA9" w14:textId="77777777" w:rsidR="00441886" w:rsidRPr="00441886" w:rsidRDefault="00441886" w:rsidP="00441886">
      <w:pPr>
        <w:spacing w:line="240" w:lineRule="auto"/>
        <w:rPr>
          <w:rFonts w:ascii="Times New Roman" w:hAnsi="Times New Roman" w:cs="Times New Roman"/>
          <w:b/>
          <w:bCs/>
        </w:rPr>
      </w:pPr>
      <w:r w:rsidRPr="00441886">
        <w:rPr>
          <w:rFonts w:ascii="Times New Roman" w:hAnsi="Times New Roman" w:cs="Times New Roman"/>
          <w:b/>
          <w:bCs/>
        </w:rPr>
        <w:t xml:space="preserve">JUDICIAL CIRCUIT IN AND FOR MIAMI-DADE </w:t>
      </w:r>
    </w:p>
    <w:p w14:paraId="471CC789" w14:textId="2ACDB094" w:rsidR="00441886" w:rsidRPr="00441886" w:rsidRDefault="00441886" w:rsidP="00441886">
      <w:pPr>
        <w:spacing w:line="240" w:lineRule="auto"/>
        <w:rPr>
          <w:rFonts w:ascii="Times New Roman" w:hAnsi="Times New Roman" w:cs="Times New Roman"/>
        </w:rPr>
      </w:pPr>
      <w:r w:rsidRPr="00441886">
        <w:rPr>
          <w:rFonts w:ascii="Times New Roman" w:hAnsi="Times New Roman" w:cs="Times New Roman"/>
          <w:b/>
          <w:bCs/>
        </w:rPr>
        <w:t>COUNTY, FLORIDA</w:t>
      </w:r>
    </w:p>
    <w:p w14:paraId="36FE1CBA" w14:textId="77777777" w:rsidR="00441886" w:rsidRDefault="00441886" w:rsidP="00441886">
      <w:pPr>
        <w:rPr>
          <w:rFonts w:ascii="Times New Roman" w:hAnsi="Times New Roman" w:cs="Times New Roman"/>
          <w:b/>
          <w:bCs/>
        </w:rPr>
      </w:pPr>
    </w:p>
    <w:p w14:paraId="361FB60D" w14:textId="27B0717A" w:rsidR="00441886" w:rsidRPr="00441886" w:rsidRDefault="00441886" w:rsidP="00441886">
      <w:pPr>
        <w:rPr>
          <w:rFonts w:ascii="Times New Roman" w:hAnsi="Times New Roman" w:cs="Times New Roman"/>
          <w:b/>
          <w:bCs/>
        </w:rPr>
      </w:pPr>
      <w:r w:rsidRPr="00441886">
        <w:rPr>
          <w:rFonts w:ascii="Times New Roman" w:hAnsi="Times New Roman" w:cs="Times New Roman"/>
          <w:b/>
          <w:bCs/>
        </w:rPr>
        <w:t xml:space="preserve">CASE NO: </w:t>
      </w:r>
    </w:p>
    <w:p w14:paraId="7997DE0C" w14:textId="77777777" w:rsidR="00441886" w:rsidRPr="00441886" w:rsidRDefault="00441886" w:rsidP="00441886">
      <w:pPr>
        <w:rPr>
          <w:rFonts w:ascii="Times New Roman" w:hAnsi="Times New Roman" w:cs="Times New Roman"/>
          <w:b/>
          <w:bCs/>
        </w:rPr>
      </w:pPr>
      <w:r w:rsidRPr="00441886">
        <w:rPr>
          <w:rFonts w:ascii="Times New Roman" w:hAnsi="Times New Roman" w:cs="Times New Roman"/>
          <w:b/>
          <w:bCs/>
        </w:rPr>
        <w:t xml:space="preserve">SECTION: </w:t>
      </w:r>
    </w:p>
    <w:p w14:paraId="57C8F445" w14:textId="7B41EA7D" w:rsidR="00441886" w:rsidRPr="00441886" w:rsidRDefault="00441886" w:rsidP="00441886">
      <w:pPr>
        <w:rPr>
          <w:rFonts w:ascii="Times New Roman" w:hAnsi="Times New Roman" w:cs="Times New Roman"/>
          <w:b/>
          <w:bCs/>
        </w:rPr>
      </w:pPr>
      <w:r w:rsidRPr="00441886">
        <w:rPr>
          <w:rFonts w:ascii="Times New Roman" w:hAnsi="Times New Roman" w:cs="Times New Roman"/>
          <w:b/>
          <w:bCs/>
        </w:rPr>
        <w:t>JUDGE:</w:t>
      </w:r>
    </w:p>
    <w:p w14:paraId="7D1EF52B" w14:textId="77777777" w:rsidR="00441886" w:rsidRDefault="00441886" w:rsidP="00441886">
      <w:pPr>
        <w:rPr>
          <w:rFonts w:ascii="Times New Roman" w:hAnsi="Times New Roman" w:cs="Times New Roman"/>
          <w:b/>
          <w:bCs/>
        </w:rPr>
      </w:pPr>
      <w:r w:rsidRPr="00441886">
        <w:rPr>
          <w:rFonts w:ascii="Times New Roman" w:hAnsi="Times New Roman" w:cs="Times New Roman"/>
          <w:b/>
          <w:bCs/>
        </w:rPr>
        <w:t xml:space="preserve"> </w:t>
      </w:r>
    </w:p>
    <w:p w14:paraId="534FDE6C" w14:textId="118A2E4D" w:rsidR="00441886" w:rsidRPr="00441886" w:rsidRDefault="00441886" w:rsidP="00441886">
      <w:pPr>
        <w:rPr>
          <w:rFonts w:ascii="Times New Roman" w:hAnsi="Times New Roman" w:cs="Times New Roman"/>
          <w:b/>
          <w:bCs/>
        </w:rPr>
      </w:pPr>
      <w:r w:rsidRPr="00441886">
        <w:rPr>
          <w:rFonts w:ascii="Times New Roman" w:hAnsi="Times New Roman" w:cs="Times New Roman"/>
          <w:b/>
          <w:bCs/>
        </w:rPr>
        <w:t xml:space="preserve">Plaintiff(s), </w:t>
      </w:r>
    </w:p>
    <w:p w14:paraId="3A14A988" w14:textId="77777777" w:rsidR="00441886" w:rsidRPr="00441886" w:rsidRDefault="00441886" w:rsidP="00441886">
      <w:pPr>
        <w:rPr>
          <w:rFonts w:ascii="Times New Roman" w:hAnsi="Times New Roman" w:cs="Times New Roman"/>
          <w:b/>
          <w:bCs/>
        </w:rPr>
      </w:pPr>
      <w:r w:rsidRPr="00441886">
        <w:rPr>
          <w:rFonts w:ascii="Times New Roman" w:hAnsi="Times New Roman" w:cs="Times New Roman"/>
          <w:b/>
          <w:bCs/>
        </w:rPr>
        <w:t xml:space="preserve">v. </w:t>
      </w:r>
    </w:p>
    <w:p w14:paraId="45B88725" w14:textId="77777777" w:rsidR="00441886" w:rsidRPr="00441886" w:rsidRDefault="00441886" w:rsidP="00441886">
      <w:pPr>
        <w:rPr>
          <w:rFonts w:ascii="Times New Roman" w:hAnsi="Times New Roman" w:cs="Times New Roman"/>
          <w:b/>
          <w:bCs/>
        </w:rPr>
      </w:pPr>
      <w:r w:rsidRPr="00441886">
        <w:rPr>
          <w:rFonts w:ascii="Times New Roman" w:hAnsi="Times New Roman" w:cs="Times New Roman"/>
          <w:b/>
          <w:bCs/>
        </w:rPr>
        <w:t xml:space="preserve">Defendant(s). </w:t>
      </w:r>
    </w:p>
    <w:p w14:paraId="53256DE2" w14:textId="77777777" w:rsidR="00441886" w:rsidRPr="00441886" w:rsidRDefault="00441886" w:rsidP="00441886">
      <w:pPr>
        <w:rPr>
          <w:rFonts w:ascii="Times New Roman" w:hAnsi="Times New Roman" w:cs="Times New Roman"/>
          <w:b/>
          <w:bCs/>
        </w:rPr>
      </w:pPr>
      <w:r w:rsidRPr="00441886">
        <w:rPr>
          <w:rFonts w:ascii="Times New Roman" w:hAnsi="Times New Roman" w:cs="Times New Roman"/>
          <w:b/>
          <w:bCs/>
          <w:u w:val="single"/>
        </w:rPr>
        <w:t xml:space="preserve">                                                      </w:t>
      </w:r>
      <w:r w:rsidRPr="00441886">
        <w:rPr>
          <w:rFonts w:ascii="Times New Roman" w:hAnsi="Times New Roman" w:cs="Times New Roman"/>
          <w:b/>
          <w:bCs/>
        </w:rPr>
        <w:t xml:space="preserve">/ </w:t>
      </w:r>
    </w:p>
    <w:p w14:paraId="5DF54FF7" w14:textId="17979F26" w:rsidR="00441886" w:rsidRPr="00441886" w:rsidRDefault="00441886" w:rsidP="00441886">
      <w:pPr>
        <w:jc w:val="center"/>
        <w:rPr>
          <w:rFonts w:ascii="Times New Roman" w:hAnsi="Times New Roman" w:cs="Times New Roman"/>
          <w:b/>
          <w:bCs/>
          <w:u w:val="single"/>
        </w:rPr>
      </w:pPr>
      <w:r w:rsidRPr="00441886">
        <w:rPr>
          <w:rFonts w:ascii="Times New Roman" w:hAnsi="Times New Roman" w:cs="Times New Roman"/>
          <w:b/>
          <w:bCs/>
          <w:u w:val="single"/>
        </w:rPr>
        <w:t>CASE MANAGEMENT ORDER (</w:t>
      </w:r>
      <w:r w:rsidRPr="00441886">
        <w:rPr>
          <w:rFonts w:ascii="Times New Roman" w:hAnsi="Times New Roman" w:cs="Times New Roman"/>
          <w:b/>
          <w:bCs/>
          <w:u w:val="single"/>
        </w:rPr>
        <w:t>COMPLE</w:t>
      </w:r>
      <w:r w:rsidR="00A44573">
        <w:rPr>
          <w:rFonts w:ascii="Times New Roman" w:hAnsi="Times New Roman" w:cs="Times New Roman"/>
          <w:b/>
          <w:bCs/>
          <w:u w:val="single"/>
        </w:rPr>
        <w:t xml:space="preserve">X </w:t>
      </w:r>
      <w:r w:rsidRPr="00441886">
        <w:rPr>
          <w:rFonts w:ascii="Times New Roman" w:hAnsi="Times New Roman" w:cs="Times New Roman"/>
          <w:b/>
          <w:bCs/>
          <w:u w:val="single"/>
        </w:rPr>
        <w:t>PATHWAY)</w:t>
      </w:r>
    </w:p>
    <w:p w14:paraId="2709A0E8" w14:textId="77777777" w:rsidR="00441886" w:rsidRPr="00441886" w:rsidRDefault="00441886" w:rsidP="00441886">
      <w:pPr>
        <w:ind w:firstLine="720"/>
        <w:rPr>
          <w:rFonts w:ascii="Times New Roman" w:hAnsi="Times New Roman" w:cs="Times New Roman"/>
          <w:b/>
          <w:bCs/>
        </w:rPr>
      </w:pPr>
      <w:r w:rsidRPr="00441886">
        <w:rPr>
          <w:rFonts w:ascii="Times New Roman" w:hAnsi="Times New Roman" w:cs="Times New Roman"/>
          <w:b/>
          <w:bCs/>
        </w:rPr>
        <w:t>THIS CAUSE</w:t>
      </w:r>
      <w:r w:rsidRPr="00441886">
        <w:rPr>
          <w:rFonts w:ascii="Times New Roman" w:hAnsi="Times New Roman" w:cs="Times New Roman"/>
        </w:rPr>
        <w:t xml:space="preserve"> came before the Court on case management review. Based on the review of the file, and pursuant to Florida Rules of Civil Procedure 1.200, as well as Florida Rules of General Practice and Judicial Administration 2.545, the Court has established Case Management Deadlines, and it is hereby</w:t>
      </w:r>
      <w:r w:rsidRPr="00441886">
        <w:rPr>
          <w:rFonts w:ascii="Times New Roman" w:hAnsi="Times New Roman" w:cs="Times New Roman"/>
          <w:b/>
          <w:bCs/>
        </w:rPr>
        <w:t xml:space="preserve">: </w:t>
      </w:r>
    </w:p>
    <w:p w14:paraId="376EA685" w14:textId="77777777" w:rsidR="00441886" w:rsidRPr="00441886" w:rsidRDefault="00441886" w:rsidP="00441886">
      <w:pPr>
        <w:ind w:firstLine="720"/>
        <w:rPr>
          <w:rFonts w:ascii="Times New Roman" w:hAnsi="Times New Roman" w:cs="Times New Roman"/>
          <w:b/>
          <w:bCs/>
        </w:rPr>
      </w:pPr>
      <w:r w:rsidRPr="00441886">
        <w:rPr>
          <w:rFonts w:ascii="Times New Roman" w:hAnsi="Times New Roman" w:cs="Times New Roman"/>
          <w:b/>
          <w:bCs/>
        </w:rPr>
        <w:t xml:space="preserve">ORDERED that: </w:t>
      </w:r>
    </w:p>
    <w:p w14:paraId="2AF705AC" w14:textId="77777777" w:rsidR="00441886" w:rsidRPr="00441886" w:rsidRDefault="00441886" w:rsidP="00441886">
      <w:pPr>
        <w:ind w:left="720"/>
        <w:rPr>
          <w:rFonts w:ascii="Times New Roman" w:hAnsi="Times New Roman" w:cs="Times New Roman"/>
        </w:rPr>
      </w:pPr>
      <w:r w:rsidRPr="00441886">
        <w:rPr>
          <w:rFonts w:ascii="Times New Roman" w:hAnsi="Times New Roman" w:cs="Times New Roman"/>
          <w:b/>
          <w:bCs/>
        </w:rPr>
        <w:t xml:space="preserve">1. </w:t>
      </w:r>
      <w:r w:rsidRPr="00441886">
        <w:rPr>
          <w:rFonts w:ascii="Times New Roman" w:hAnsi="Times New Roman" w:cs="Times New Roman"/>
        </w:rPr>
        <w:t xml:space="preserve">The parties must strictly comply with the deadlines established in this order, which will be strictly enforced unless changed by Court order. Parties should expect that the case will be tried during the projected trial period specified, without continuances. The parties cannot agree to extend the deadlines except as specified in Florida Rules of Civil Procedure 1.200(e) and cannot agree to waive any portion of the provisions of this order. Failing to request an extension of service or effectuate service of process </w:t>
      </w:r>
      <w:proofErr w:type="gramStart"/>
      <w:r w:rsidRPr="00441886">
        <w:rPr>
          <w:rFonts w:ascii="Times New Roman" w:hAnsi="Times New Roman" w:cs="Times New Roman"/>
        </w:rPr>
        <w:t>by</w:t>
      </w:r>
      <w:proofErr w:type="gramEnd"/>
      <w:r w:rsidRPr="00441886">
        <w:rPr>
          <w:rFonts w:ascii="Times New Roman" w:hAnsi="Times New Roman" w:cs="Times New Roman"/>
        </w:rPr>
        <w:t xml:space="preserve"> the deadlines set forth in this order may result in dismissal pursuant to Rule 1.070(j). </w:t>
      </w:r>
    </w:p>
    <w:p w14:paraId="03B2FDC7" w14:textId="4531E38D" w:rsidR="00441886" w:rsidRPr="00441886" w:rsidRDefault="00441886" w:rsidP="006D0A53">
      <w:pPr>
        <w:ind w:left="720"/>
        <w:rPr>
          <w:rFonts w:ascii="Times New Roman" w:hAnsi="Times New Roman" w:cs="Times New Roman"/>
        </w:rPr>
      </w:pPr>
      <w:r w:rsidRPr="00441886">
        <w:rPr>
          <w:rFonts w:ascii="Times New Roman" w:hAnsi="Times New Roman" w:cs="Times New Roman"/>
          <w:b/>
          <w:bCs/>
        </w:rPr>
        <w:t xml:space="preserve">2. </w:t>
      </w:r>
      <w:r w:rsidRPr="00441886">
        <w:rPr>
          <w:rFonts w:ascii="Times New Roman" w:hAnsi="Times New Roman" w:cs="Times New Roman"/>
          <w:b/>
          <w:bCs/>
          <w:u w:val="single"/>
        </w:rPr>
        <w:t>Procedural Requirements:</w:t>
      </w:r>
      <w:r w:rsidRPr="00441886">
        <w:rPr>
          <w:rFonts w:ascii="Times New Roman" w:hAnsi="Times New Roman" w:cs="Times New Roman"/>
          <w:b/>
          <w:bCs/>
        </w:rPr>
        <w:t xml:space="preserve"> </w:t>
      </w:r>
      <w:r w:rsidRPr="00441886">
        <w:rPr>
          <w:rFonts w:ascii="Times New Roman" w:hAnsi="Times New Roman" w:cs="Times New Roman"/>
        </w:rPr>
        <w:t xml:space="preserve">In addition to strict adherence to the Florida Rules of Civil Procedure and the Administrative Orders of the Court, the parties must comply with the Case Management Procedures in this order. The parties may not unilaterally extend any of the deadlines contained in the Case Management Procedures. Deadlines may be altered by the Court where the interests of </w:t>
      </w:r>
      <w:proofErr w:type="gramStart"/>
      <w:r w:rsidRPr="00441886">
        <w:rPr>
          <w:rFonts w:ascii="Times New Roman" w:hAnsi="Times New Roman" w:cs="Times New Roman"/>
        </w:rPr>
        <w:t>justice so</w:t>
      </w:r>
      <w:proofErr w:type="gramEnd"/>
      <w:r w:rsidRPr="00441886">
        <w:rPr>
          <w:rFonts w:ascii="Times New Roman" w:hAnsi="Times New Roman" w:cs="Times New Roman"/>
        </w:rPr>
        <w:t xml:space="preserve"> require, upon prompt motion, notice, and hearing.</w:t>
      </w:r>
    </w:p>
    <w:tbl>
      <w:tblPr>
        <w:tblW w:w="5002" w:type="pct"/>
        <w:tblInd w:w="-2" w:type="dxa"/>
        <w:tblCellMar>
          <w:left w:w="0" w:type="dxa"/>
          <w:right w:w="0" w:type="dxa"/>
        </w:tblCellMar>
        <w:tblLook w:val="04A0" w:firstRow="1" w:lastRow="0" w:firstColumn="1" w:lastColumn="0" w:noHBand="0" w:noVBand="1"/>
      </w:tblPr>
      <w:tblGrid>
        <w:gridCol w:w="5143"/>
        <w:gridCol w:w="4201"/>
      </w:tblGrid>
      <w:tr w:rsidR="006D0A53" w:rsidRPr="006D0A53" w14:paraId="4176E877" w14:textId="77777777" w:rsidTr="006D0A53">
        <w:tc>
          <w:tcPr>
            <w:tcW w:w="5000" w:type="pct"/>
            <w:gridSpan w:val="2"/>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vAlign w:val="center"/>
            <w:hideMark/>
          </w:tcPr>
          <w:p w14:paraId="776A3B6E" w14:textId="0D7E6694" w:rsidR="006D0A53" w:rsidRPr="006D0A53" w:rsidRDefault="006D0A53">
            <w:pPr>
              <w:jc w:val="center"/>
              <w:rPr>
                <w:rFonts w:ascii="Arial" w:hAnsi="Arial" w:cs="Arial"/>
                <w:sz w:val="22"/>
                <w:szCs w:val="22"/>
                <w14:ligatures w14:val="none"/>
              </w:rPr>
            </w:pPr>
            <w:r w:rsidRPr="006D0A53">
              <w:rPr>
                <w:rFonts w:ascii="Arial" w:hAnsi="Arial" w:cs="Arial"/>
                <w:b/>
                <w:bCs/>
                <w:color w:val="000000"/>
                <w:sz w:val="22"/>
                <w:szCs w:val="22"/>
                <w:highlight w:val="yellow"/>
              </w:rPr>
              <w:lastRenderedPageBreak/>
              <w:t>Complex</w:t>
            </w:r>
            <w:r w:rsidRPr="006D0A53">
              <w:rPr>
                <w:rFonts w:ascii="Arial" w:hAnsi="Arial" w:cs="Arial"/>
                <w:b/>
                <w:bCs/>
                <w:color w:val="000000"/>
                <w:sz w:val="22"/>
                <w:szCs w:val="22"/>
              </w:rPr>
              <w:t xml:space="preserve"> Pathway Deadlines </w:t>
            </w:r>
          </w:p>
        </w:tc>
      </w:tr>
      <w:tr w:rsidR="006D0A53" w:rsidRPr="006D0A53" w14:paraId="4861C603" w14:textId="77777777" w:rsidTr="006D0A53">
        <w:tc>
          <w:tcPr>
            <w:tcW w:w="27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C100AA" w14:textId="77777777" w:rsidR="006D0A53" w:rsidRPr="006D0A53" w:rsidRDefault="006D0A53">
            <w:pPr>
              <w:rPr>
                <w:rFonts w:ascii="Arial" w:hAnsi="Arial" w:cs="Arial"/>
                <w:b/>
                <w:bCs/>
                <w:sz w:val="22"/>
                <w:szCs w:val="22"/>
                <w:shd w:val="clear" w:color="auto" w:fill="FFFFFF"/>
              </w:rPr>
            </w:pPr>
            <w:r w:rsidRPr="006D0A53">
              <w:rPr>
                <w:rFonts w:ascii="Arial" w:hAnsi="Arial" w:cs="Arial"/>
                <w:b/>
                <w:bCs/>
                <w:sz w:val="22"/>
                <w:szCs w:val="22"/>
              </w:rPr>
              <w:t xml:space="preserve">Deadline for Service of Complaint/ </w:t>
            </w:r>
          </w:p>
        </w:tc>
        <w:tc>
          <w:tcPr>
            <w:tcW w:w="22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432EA8" w14:textId="77777777" w:rsidR="006D0A53" w:rsidRPr="006D0A53" w:rsidRDefault="006D0A53">
            <w:pPr>
              <w:rPr>
                <w:rFonts w:ascii="Arial" w:hAnsi="Arial" w:cs="Arial"/>
                <w:sz w:val="22"/>
                <w:szCs w:val="22"/>
              </w:rPr>
            </w:pPr>
            <w:r w:rsidRPr="006D0A53">
              <w:rPr>
                <w:rFonts w:ascii="Arial" w:hAnsi="Arial" w:cs="Arial"/>
                <w:color w:val="FF0000"/>
                <w:sz w:val="22"/>
                <w:szCs w:val="22"/>
              </w:rPr>
              <w:t>120</w:t>
            </w:r>
            <w:r w:rsidRPr="006D0A53">
              <w:rPr>
                <w:rFonts w:ascii="Arial" w:hAnsi="Arial" w:cs="Arial"/>
                <w:sz w:val="22"/>
                <w:szCs w:val="22"/>
              </w:rPr>
              <w:t xml:space="preserve"> days from filing of complaint                   </w:t>
            </w:r>
          </w:p>
        </w:tc>
      </w:tr>
      <w:tr w:rsidR="006D0A53" w:rsidRPr="006D0A53" w14:paraId="4DCF5CB1" w14:textId="77777777" w:rsidTr="006D0A53">
        <w:tc>
          <w:tcPr>
            <w:tcW w:w="27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F638E7" w14:textId="77777777" w:rsidR="006D0A53" w:rsidRPr="006D0A53" w:rsidRDefault="006D0A53">
            <w:pPr>
              <w:rPr>
                <w:rFonts w:ascii="Arial" w:hAnsi="Arial" w:cs="Arial"/>
                <w:b/>
                <w:bCs/>
                <w:sz w:val="22"/>
                <w:szCs w:val="22"/>
              </w:rPr>
            </w:pPr>
            <w:r w:rsidRPr="006D0A53">
              <w:rPr>
                <w:rFonts w:ascii="Arial" w:hAnsi="Arial" w:cs="Arial"/>
                <w:b/>
                <w:bCs/>
                <w:color w:val="000000"/>
                <w:sz w:val="22"/>
                <w:szCs w:val="22"/>
                <w:shd w:val="clear" w:color="auto" w:fill="FFFFFF"/>
              </w:rPr>
              <w:t>Order Designating Case as Complex</w:t>
            </w:r>
          </w:p>
        </w:tc>
        <w:tc>
          <w:tcPr>
            <w:tcW w:w="22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F1F1A0" w14:textId="77777777" w:rsidR="006D0A53" w:rsidRPr="006D0A53" w:rsidRDefault="006D0A53">
            <w:pPr>
              <w:rPr>
                <w:rFonts w:ascii="Arial" w:hAnsi="Arial" w:cs="Arial"/>
                <w:i/>
                <w:iCs/>
                <w:sz w:val="22"/>
                <w:szCs w:val="22"/>
              </w:rPr>
            </w:pPr>
            <w:r w:rsidRPr="006D0A53">
              <w:rPr>
                <w:rFonts w:ascii="Arial" w:hAnsi="Arial" w:cs="Arial"/>
                <w:i/>
                <w:iCs/>
                <w:sz w:val="22"/>
                <w:szCs w:val="22"/>
              </w:rPr>
              <w:t>As determined by the Court</w:t>
            </w:r>
          </w:p>
        </w:tc>
      </w:tr>
      <w:tr w:rsidR="006D0A53" w:rsidRPr="006D0A53" w14:paraId="22923CDE" w14:textId="77777777" w:rsidTr="006D0A53">
        <w:tc>
          <w:tcPr>
            <w:tcW w:w="27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3DCC7" w14:textId="77777777" w:rsidR="006D0A53" w:rsidRPr="006D0A53" w:rsidRDefault="006D0A53">
            <w:pPr>
              <w:rPr>
                <w:rFonts w:ascii="Arial" w:hAnsi="Arial" w:cs="Arial"/>
                <w:sz w:val="22"/>
                <w:szCs w:val="22"/>
              </w:rPr>
            </w:pPr>
            <w:r w:rsidRPr="006D0A53">
              <w:rPr>
                <w:rFonts w:ascii="Arial" w:hAnsi="Arial" w:cs="Arial"/>
                <w:b/>
                <w:bCs/>
                <w:sz w:val="22"/>
                <w:szCs w:val="22"/>
              </w:rPr>
              <w:t>Deadline</w:t>
            </w:r>
            <w:r w:rsidRPr="006D0A53">
              <w:rPr>
                <w:rFonts w:ascii="Arial" w:hAnsi="Arial" w:cs="Arial"/>
                <w:b/>
                <w:bCs/>
                <w:spacing w:val="-8"/>
                <w:sz w:val="22"/>
                <w:szCs w:val="22"/>
              </w:rPr>
              <w:t xml:space="preserve"> </w:t>
            </w:r>
            <w:r w:rsidRPr="006D0A53">
              <w:rPr>
                <w:rFonts w:ascii="Arial" w:hAnsi="Arial" w:cs="Arial"/>
                <w:b/>
                <w:bCs/>
                <w:sz w:val="22"/>
                <w:szCs w:val="22"/>
              </w:rPr>
              <w:t>for</w:t>
            </w:r>
            <w:r w:rsidRPr="006D0A53">
              <w:rPr>
                <w:rFonts w:ascii="Arial" w:hAnsi="Arial" w:cs="Arial"/>
                <w:b/>
                <w:bCs/>
                <w:spacing w:val="-6"/>
                <w:sz w:val="22"/>
                <w:szCs w:val="22"/>
              </w:rPr>
              <w:t xml:space="preserve"> </w:t>
            </w:r>
            <w:r w:rsidRPr="006D0A53">
              <w:rPr>
                <w:rFonts w:ascii="Arial" w:hAnsi="Arial" w:cs="Arial"/>
                <w:b/>
                <w:bCs/>
                <w:sz w:val="22"/>
                <w:szCs w:val="22"/>
              </w:rPr>
              <w:t>Propounding</w:t>
            </w:r>
            <w:r w:rsidRPr="006D0A53">
              <w:rPr>
                <w:rFonts w:ascii="Arial" w:hAnsi="Arial" w:cs="Arial"/>
                <w:b/>
                <w:bCs/>
                <w:spacing w:val="-7"/>
                <w:sz w:val="22"/>
                <w:szCs w:val="22"/>
              </w:rPr>
              <w:t xml:space="preserve"> </w:t>
            </w:r>
            <w:r w:rsidRPr="006D0A53">
              <w:rPr>
                <w:rFonts w:ascii="Arial" w:hAnsi="Arial" w:cs="Arial"/>
                <w:b/>
                <w:bCs/>
                <w:sz w:val="22"/>
                <w:szCs w:val="22"/>
              </w:rPr>
              <w:t>Requests</w:t>
            </w:r>
            <w:r w:rsidRPr="006D0A53">
              <w:rPr>
                <w:rFonts w:ascii="Arial" w:hAnsi="Arial" w:cs="Arial"/>
                <w:b/>
                <w:bCs/>
                <w:spacing w:val="-8"/>
                <w:sz w:val="22"/>
                <w:szCs w:val="22"/>
              </w:rPr>
              <w:t xml:space="preserve"> </w:t>
            </w:r>
            <w:r w:rsidRPr="006D0A53">
              <w:rPr>
                <w:rFonts w:ascii="Arial" w:hAnsi="Arial" w:cs="Arial"/>
                <w:b/>
                <w:bCs/>
                <w:sz w:val="22"/>
                <w:szCs w:val="22"/>
              </w:rPr>
              <w:t>for</w:t>
            </w:r>
            <w:r w:rsidRPr="006D0A53">
              <w:rPr>
                <w:rFonts w:ascii="Arial" w:hAnsi="Arial" w:cs="Arial"/>
                <w:b/>
                <w:bCs/>
                <w:spacing w:val="-6"/>
                <w:sz w:val="22"/>
                <w:szCs w:val="22"/>
              </w:rPr>
              <w:t xml:space="preserve"> </w:t>
            </w:r>
            <w:r w:rsidRPr="006D0A53">
              <w:rPr>
                <w:rFonts w:ascii="Arial" w:hAnsi="Arial" w:cs="Arial"/>
                <w:b/>
                <w:bCs/>
                <w:sz w:val="22"/>
                <w:szCs w:val="22"/>
              </w:rPr>
              <w:t>Production,</w:t>
            </w:r>
            <w:r w:rsidRPr="006D0A53">
              <w:rPr>
                <w:rFonts w:ascii="Arial" w:hAnsi="Arial" w:cs="Arial"/>
                <w:b/>
                <w:bCs/>
                <w:spacing w:val="-57"/>
                <w:sz w:val="22"/>
                <w:szCs w:val="22"/>
              </w:rPr>
              <w:t xml:space="preserve"> </w:t>
            </w:r>
            <w:r w:rsidRPr="006D0A53">
              <w:rPr>
                <w:rFonts w:ascii="Arial" w:hAnsi="Arial" w:cs="Arial"/>
                <w:b/>
                <w:bCs/>
                <w:sz w:val="22"/>
                <w:szCs w:val="22"/>
              </w:rPr>
              <w:t>Requests</w:t>
            </w:r>
            <w:r w:rsidRPr="006D0A53">
              <w:rPr>
                <w:rFonts w:ascii="Arial" w:hAnsi="Arial" w:cs="Arial"/>
                <w:b/>
                <w:bCs/>
                <w:spacing w:val="-3"/>
                <w:sz w:val="22"/>
                <w:szCs w:val="22"/>
              </w:rPr>
              <w:t xml:space="preserve"> </w:t>
            </w:r>
            <w:r w:rsidRPr="006D0A53">
              <w:rPr>
                <w:rFonts w:ascii="Arial" w:hAnsi="Arial" w:cs="Arial"/>
                <w:b/>
                <w:bCs/>
                <w:sz w:val="22"/>
                <w:szCs w:val="22"/>
              </w:rPr>
              <w:t>to</w:t>
            </w:r>
            <w:r w:rsidRPr="006D0A53">
              <w:rPr>
                <w:rFonts w:ascii="Arial" w:hAnsi="Arial" w:cs="Arial"/>
                <w:b/>
                <w:bCs/>
                <w:spacing w:val="-1"/>
                <w:sz w:val="22"/>
                <w:szCs w:val="22"/>
              </w:rPr>
              <w:t xml:space="preserve"> </w:t>
            </w:r>
            <w:r w:rsidRPr="006D0A53">
              <w:rPr>
                <w:rFonts w:ascii="Arial" w:hAnsi="Arial" w:cs="Arial"/>
                <w:b/>
                <w:bCs/>
                <w:sz w:val="22"/>
                <w:szCs w:val="22"/>
              </w:rPr>
              <w:t>Admit</w:t>
            </w:r>
            <w:r w:rsidRPr="006D0A53">
              <w:rPr>
                <w:rFonts w:ascii="Arial" w:hAnsi="Arial" w:cs="Arial"/>
                <w:b/>
                <w:bCs/>
                <w:spacing w:val="-2"/>
                <w:sz w:val="22"/>
                <w:szCs w:val="22"/>
              </w:rPr>
              <w:t xml:space="preserve"> </w:t>
            </w:r>
            <w:r w:rsidRPr="006D0A53">
              <w:rPr>
                <w:rFonts w:ascii="Arial" w:hAnsi="Arial" w:cs="Arial"/>
                <w:b/>
                <w:bCs/>
                <w:sz w:val="22"/>
                <w:szCs w:val="22"/>
              </w:rPr>
              <w:t>and</w:t>
            </w:r>
            <w:r w:rsidRPr="006D0A53">
              <w:rPr>
                <w:rFonts w:ascii="Arial" w:hAnsi="Arial" w:cs="Arial"/>
                <w:b/>
                <w:bCs/>
                <w:spacing w:val="-1"/>
                <w:sz w:val="22"/>
                <w:szCs w:val="22"/>
              </w:rPr>
              <w:t xml:space="preserve"> </w:t>
            </w:r>
            <w:r w:rsidRPr="006D0A53">
              <w:rPr>
                <w:rFonts w:ascii="Arial" w:hAnsi="Arial" w:cs="Arial"/>
                <w:b/>
                <w:bCs/>
                <w:sz w:val="22"/>
                <w:szCs w:val="22"/>
              </w:rPr>
              <w:t>Interrogatories:</w:t>
            </w:r>
            <w:r w:rsidRPr="006D0A53">
              <w:rPr>
                <w:rFonts w:ascii="Arial" w:hAnsi="Arial" w:cs="Arial"/>
                <w:sz w:val="22"/>
                <w:szCs w:val="22"/>
              </w:rPr>
              <w:t> </w:t>
            </w:r>
          </w:p>
        </w:tc>
        <w:tc>
          <w:tcPr>
            <w:tcW w:w="22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D9760B" w14:textId="77777777" w:rsidR="006D0A53" w:rsidRPr="006D0A53" w:rsidRDefault="006D0A53">
            <w:pPr>
              <w:rPr>
                <w:rFonts w:ascii="Arial" w:hAnsi="Arial" w:cs="Arial"/>
                <w:sz w:val="22"/>
                <w:szCs w:val="22"/>
              </w:rPr>
            </w:pPr>
            <w:r w:rsidRPr="006D0A53">
              <w:rPr>
                <w:rFonts w:ascii="Arial" w:hAnsi="Arial" w:cs="Arial"/>
                <w:color w:val="FF0000"/>
                <w:sz w:val="22"/>
                <w:szCs w:val="22"/>
              </w:rPr>
              <w:t xml:space="preserve">45 </w:t>
            </w:r>
            <w:r w:rsidRPr="006D0A53">
              <w:rPr>
                <w:rFonts w:ascii="Arial" w:hAnsi="Arial" w:cs="Arial"/>
                <w:sz w:val="22"/>
                <w:szCs w:val="22"/>
              </w:rPr>
              <w:t xml:space="preserve">days </w:t>
            </w:r>
            <w:r w:rsidRPr="006D0A53">
              <w:rPr>
                <w:rFonts w:ascii="Arial" w:hAnsi="Arial" w:cs="Arial"/>
                <w:color w:val="000000"/>
                <w:sz w:val="22"/>
                <w:szCs w:val="22"/>
                <w:shd w:val="clear" w:color="auto" w:fill="FFFFFF"/>
              </w:rPr>
              <w:t>from Order Designating Case as Complex</w:t>
            </w:r>
          </w:p>
        </w:tc>
      </w:tr>
      <w:tr w:rsidR="006D0A53" w:rsidRPr="006D0A53" w14:paraId="10906791" w14:textId="77777777" w:rsidTr="006D0A53">
        <w:trPr>
          <w:trHeight w:val="510"/>
        </w:trPr>
        <w:tc>
          <w:tcPr>
            <w:tcW w:w="27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35E551" w14:textId="77777777" w:rsidR="006D0A53" w:rsidRPr="006D0A53" w:rsidRDefault="006D0A53">
            <w:pPr>
              <w:rPr>
                <w:rFonts w:ascii="Arial" w:hAnsi="Arial" w:cs="Arial"/>
                <w:sz w:val="22"/>
                <w:szCs w:val="22"/>
              </w:rPr>
            </w:pPr>
            <w:r w:rsidRPr="006D0A53">
              <w:rPr>
                <w:rFonts w:ascii="Arial" w:hAnsi="Arial" w:cs="Arial"/>
                <w:b/>
                <w:bCs/>
                <w:sz w:val="22"/>
                <w:szCs w:val="22"/>
              </w:rPr>
              <w:t>Deadline</w:t>
            </w:r>
            <w:r w:rsidRPr="006D0A53">
              <w:rPr>
                <w:rFonts w:ascii="Arial" w:hAnsi="Arial" w:cs="Arial"/>
                <w:b/>
                <w:bCs/>
                <w:spacing w:val="-6"/>
                <w:sz w:val="22"/>
                <w:szCs w:val="22"/>
              </w:rPr>
              <w:t xml:space="preserve"> </w:t>
            </w:r>
            <w:r w:rsidRPr="006D0A53">
              <w:rPr>
                <w:rFonts w:ascii="Arial" w:hAnsi="Arial" w:cs="Arial"/>
                <w:b/>
                <w:bCs/>
                <w:sz w:val="22"/>
                <w:szCs w:val="22"/>
              </w:rPr>
              <w:t>for</w:t>
            </w:r>
            <w:r w:rsidRPr="006D0A53">
              <w:rPr>
                <w:rFonts w:ascii="Arial" w:hAnsi="Arial" w:cs="Arial"/>
                <w:b/>
                <w:bCs/>
                <w:spacing w:val="-4"/>
                <w:sz w:val="22"/>
                <w:szCs w:val="22"/>
              </w:rPr>
              <w:t xml:space="preserve"> </w:t>
            </w:r>
            <w:r w:rsidRPr="006D0A53">
              <w:rPr>
                <w:rFonts w:ascii="Arial" w:hAnsi="Arial" w:cs="Arial"/>
                <w:b/>
                <w:bCs/>
                <w:sz w:val="22"/>
                <w:szCs w:val="22"/>
              </w:rPr>
              <w:t>Initial</w:t>
            </w:r>
            <w:r w:rsidRPr="006D0A53">
              <w:rPr>
                <w:rFonts w:ascii="Arial" w:hAnsi="Arial" w:cs="Arial"/>
                <w:b/>
                <w:bCs/>
                <w:spacing w:val="-6"/>
                <w:sz w:val="22"/>
                <w:szCs w:val="22"/>
              </w:rPr>
              <w:t xml:space="preserve"> </w:t>
            </w:r>
            <w:r w:rsidRPr="006D0A53">
              <w:rPr>
                <w:rFonts w:ascii="Arial" w:hAnsi="Arial" w:cs="Arial"/>
                <w:b/>
                <w:bCs/>
                <w:sz w:val="22"/>
                <w:szCs w:val="22"/>
              </w:rPr>
              <w:t>Scheduling</w:t>
            </w:r>
            <w:r w:rsidRPr="006D0A53">
              <w:rPr>
                <w:rFonts w:ascii="Arial" w:hAnsi="Arial" w:cs="Arial"/>
                <w:b/>
                <w:bCs/>
                <w:spacing w:val="-5"/>
                <w:sz w:val="22"/>
                <w:szCs w:val="22"/>
              </w:rPr>
              <w:t xml:space="preserve"> </w:t>
            </w:r>
            <w:r w:rsidRPr="006D0A53">
              <w:rPr>
                <w:rFonts w:ascii="Arial" w:hAnsi="Arial" w:cs="Arial"/>
                <w:b/>
                <w:bCs/>
                <w:sz w:val="22"/>
                <w:szCs w:val="22"/>
              </w:rPr>
              <w:t>and</w:t>
            </w:r>
            <w:r w:rsidRPr="006D0A53">
              <w:rPr>
                <w:rFonts w:ascii="Arial" w:hAnsi="Arial" w:cs="Arial"/>
                <w:b/>
                <w:bCs/>
                <w:spacing w:val="-4"/>
                <w:sz w:val="22"/>
                <w:szCs w:val="22"/>
              </w:rPr>
              <w:t xml:space="preserve"> </w:t>
            </w:r>
            <w:r w:rsidRPr="006D0A53">
              <w:rPr>
                <w:rFonts w:ascii="Arial" w:hAnsi="Arial" w:cs="Arial"/>
                <w:b/>
                <w:bCs/>
                <w:sz w:val="22"/>
                <w:szCs w:val="22"/>
              </w:rPr>
              <w:t>Setting</w:t>
            </w:r>
            <w:r w:rsidRPr="006D0A53">
              <w:rPr>
                <w:rFonts w:ascii="Arial" w:hAnsi="Arial" w:cs="Arial"/>
                <w:b/>
                <w:bCs/>
                <w:spacing w:val="-6"/>
                <w:sz w:val="22"/>
                <w:szCs w:val="22"/>
              </w:rPr>
              <w:t xml:space="preserve"> </w:t>
            </w:r>
            <w:r w:rsidRPr="006D0A53">
              <w:rPr>
                <w:rFonts w:ascii="Arial" w:hAnsi="Arial" w:cs="Arial"/>
                <w:b/>
                <w:bCs/>
                <w:sz w:val="22"/>
                <w:szCs w:val="22"/>
              </w:rPr>
              <w:t>Depositions:</w:t>
            </w:r>
            <w:r w:rsidRPr="006D0A53">
              <w:rPr>
                <w:rFonts w:ascii="Arial" w:hAnsi="Arial" w:cs="Arial"/>
                <w:sz w:val="22"/>
                <w:szCs w:val="22"/>
              </w:rPr>
              <w:t> </w:t>
            </w:r>
          </w:p>
        </w:tc>
        <w:tc>
          <w:tcPr>
            <w:tcW w:w="22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B3802" w14:textId="77777777" w:rsidR="006D0A53" w:rsidRPr="006D0A53" w:rsidRDefault="006D0A53">
            <w:pPr>
              <w:rPr>
                <w:rFonts w:ascii="Arial" w:hAnsi="Arial" w:cs="Arial"/>
                <w:sz w:val="22"/>
                <w:szCs w:val="22"/>
              </w:rPr>
            </w:pPr>
            <w:r w:rsidRPr="006D0A53">
              <w:rPr>
                <w:rFonts w:ascii="Arial" w:hAnsi="Arial" w:cs="Arial"/>
                <w:color w:val="FF0000"/>
                <w:sz w:val="22"/>
                <w:szCs w:val="22"/>
              </w:rPr>
              <w:t>90</w:t>
            </w:r>
            <w:r w:rsidRPr="006D0A53">
              <w:rPr>
                <w:rFonts w:ascii="Arial" w:hAnsi="Arial" w:cs="Arial"/>
                <w:sz w:val="22"/>
                <w:szCs w:val="22"/>
              </w:rPr>
              <w:t xml:space="preserve"> days from </w:t>
            </w:r>
            <w:r w:rsidRPr="006D0A53">
              <w:rPr>
                <w:rFonts w:ascii="Arial" w:hAnsi="Arial" w:cs="Arial"/>
                <w:color w:val="000000"/>
                <w:sz w:val="22"/>
                <w:szCs w:val="22"/>
                <w:shd w:val="clear" w:color="auto" w:fill="FFFFFF"/>
              </w:rPr>
              <w:t>Order Designating Case as Complex</w:t>
            </w:r>
          </w:p>
        </w:tc>
      </w:tr>
      <w:tr w:rsidR="006D0A53" w:rsidRPr="006D0A53" w14:paraId="34DFCE2F" w14:textId="77777777" w:rsidTr="006D0A53">
        <w:trPr>
          <w:trHeight w:val="790"/>
        </w:trPr>
        <w:tc>
          <w:tcPr>
            <w:tcW w:w="27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E1DA0E" w14:textId="77777777" w:rsidR="006D0A53" w:rsidRPr="006D0A53" w:rsidRDefault="006D0A53">
            <w:pPr>
              <w:rPr>
                <w:rFonts w:ascii="Arial" w:hAnsi="Arial" w:cs="Arial"/>
                <w:sz w:val="22"/>
                <w:szCs w:val="22"/>
              </w:rPr>
            </w:pPr>
            <w:r w:rsidRPr="006D0A53">
              <w:rPr>
                <w:rFonts w:ascii="Arial" w:hAnsi="Arial" w:cs="Arial"/>
                <w:b/>
                <w:bCs/>
                <w:sz w:val="22"/>
                <w:szCs w:val="22"/>
              </w:rPr>
              <w:t>Deadline</w:t>
            </w:r>
            <w:r w:rsidRPr="006D0A53">
              <w:rPr>
                <w:rFonts w:ascii="Arial" w:hAnsi="Arial" w:cs="Arial"/>
                <w:b/>
                <w:bCs/>
                <w:spacing w:val="-3"/>
                <w:sz w:val="22"/>
                <w:szCs w:val="22"/>
              </w:rPr>
              <w:t xml:space="preserve"> </w:t>
            </w:r>
            <w:r w:rsidRPr="006D0A53">
              <w:rPr>
                <w:rFonts w:ascii="Arial" w:hAnsi="Arial" w:cs="Arial"/>
                <w:b/>
                <w:bCs/>
                <w:sz w:val="22"/>
                <w:szCs w:val="22"/>
              </w:rPr>
              <w:t>for</w:t>
            </w:r>
            <w:r w:rsidRPr="006D0A53">
              <w:rPr>
                <w:rFonts w:ascii="Arial" w:hAnsi="Arial" w:cs="Arial"/>
                <w:b/>
                <w:bCs/>
                <w:spacing w:val="-2"/>
                <w:sz w:val="22"/>
                <w:szCs w:val="22"/>
              </w:rPr>
              <w:t xml:space="preserve"> Initial </w:t>
            </w:r>
            <w:r w:rsidRPr="006D0A53">
              <w:rPr>
                <w:rFonts w:ascii="Arial" w:hAnsi="Arial" w:cs="Arial"/>
                <w:b/>
                <w:bCs/>
                <w:sz w:val="22"/>
                <w:szCs w:val="22"/>
              </w:rPr>
              <w:t>Witness</w:t>
            </w:r>
            <w:r w:rsidRPr="006D0A53">
              <w:rPr>
                <w:rFonts w:ascii="Arial" w:hAnsi="Arial" w:cs="Arial"/>
                <w:b/>
                <w:bCs/>
                <w:spacing w:val="-2"/>
                <w:sz w:val="22"/>
                <w:szCs w:val="22"/>
              </w:rPr>
              <w:t xml:space="preserve"> </w:t>
            </w:r>
            <w:r w:rsidRPr="006D0A53">
              <w:rPr>
                <w:rFonts w:ascii="Arial" w:hAnsi="Arial" w:cs="Arial"/>
                <w:b/>
                <w:bCs/>
                <w:sz w:val="22"/>
                <w:szCs w:val="22"/>
              </w:rPr>
              <w:t>and</w:t>
            </w:r>
            <w:r w:rsidRPr="006D0A53">
              <w:rPr>
                <w:rFonts w:ascii="Arial" w:hAnsi="Arial" w:cs="Arial"/>
                <w:b/>
                <w:bCs/>
                <w:spacing w:val="-2"/>
                <w:sz w:val="22"/>
                <w:szCs w:val="22"/>
              </w:rPr>
              <w:t xml:space="preserve"> </w:t>
            </w:r>
            <w:r w:rsidRPr="006D0A53">
              <w:rPr>
                <w:rFonts w:ascii="Arial" w:hAnsi="Arial" w:cs="Arial"/>
                <w:b/>
                <w:bCs/>
                <w:sz w:val="22"/>
                <w:szCs w:val="22"/>
              </w:rPr>
              <w:t>Exhibit</w:t>
            </w:r>
            <w:r w:rsidRPr="006D0A53">
              <w:rPr>
                <w:rFonts w:ascii="Arial" w:hAnsi="Arial" w:cs="Arial"/>
                <w:b/>
                <w:bCs/>
                <w:spacing w:val="-3"/>
                <w:sz w:val="22"/>
                <w:szCs w:val="22"/>
              </w:rPr>
              <w:t xml:space="preserve"> </w:t>
            </w:r>
            <w:r w:rsidRPr="006D0A53">
              <w:rPr>
                <w:rFonts w:ascii="Arial" w:hAnsi="Arial" w:cs="Arial"/>
                <w:b/>
                <w:bCs/>
                <w:sz w:val="22"/>
                <w:szCs w:val="22"/>
              </w:rPr>
              <w:t>List:</w:t>
            </w:r>
            <w:r w:rsidRPr="006D0A53">
              <w:rPr>
                <w:rFonts w:ascii="Arial" w:hAnsi="Arial" w:cs="Arial"/>
                <w:sz w:val="22"/>
                <w:szCs w:val="22"/>
              </w:rPr>
              <w:t> </w:t>
            </w:r>
          </w:p>
        </w:tc>
        <w:tc>
          <w:tcPr>
            <w:tcW w:w="22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6FD4B" w14:textId="77777777" w:rsidR="006D0A53" w:rsidRPr="006D0A53" w:rsidRDefault="006D0A53">
            <w:pPr>
              <w:rPr>
                <w:rFonts w:ascii="Arial" w:hAnsi="Arial" w:cs="Arial"/>
                <w:sz w:val="22"/>
                <w:szCs w:val="22"/>
              </w:rPr>
            </w:pPr>
            <w:r w:rsidRPr="006D0A53">
              <w:rPr>
                <w:rFonts w:ascii="Arial" w:hAnsi="Arial" w:cs="Arial"/>
                <w:color w:val="FF0000"/>
                <w:sz w:val="22"/>
                <w:szCs w:val="22"/>
              </w:rPr>
              <w:t>120</w:t>
            </w:r>
            <w:r w:rsidRPr="006D0A53">
              <w:rPr>
                <w:rFonts w:ascii="Arial" w:hAnsi="Arial" w:cs="Arial"/>
                <w:sz w:val="22"/>
                <w:szCs w:val="22"/>
              </w:rPr>
              <w:t xml:space="preserve"> days </w:t>
            </w:r>
            <w:r w:rsidRPr="006D0A53">
              <w:rPr>
                <w:rFonts w:ascii="Arial" w:hAnsi="Arial" w:cs="Arial"/>
                <w:color w:val="000000"/>
                <w:sz w:val="22"/>
                <w:szCs w:val="22"/>
                <w:shd w:val="clear" w:color="auto" w:fill="FFFFFF"/>
              </w:rPr>
              <w:t>from Order Designating Case as Complex</w:t>
            </w:r>
          </w:p>
        </w:tc>
      </w:tr>
      <w:tr w:rsidR="006D0A53" w:rsidRPr="006D0A53" w14:paraId="6437C4FC" w14:textId="77777777" w:rsidTr="006D0A53">
        <w:trPr>
          <w:trHeight w:val="745"/>
        </w:trPr>
        <w:tc>
          <w:tcPr>
            <w:tcW w:w="27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F5B3CC" w14:textId="77777777" w:rsidR="006D0A53" w:rsidRPr="006D0A53" w:rsidRDefault="006D0A53">
            <w:pPr>
              <w:rPr>
                <w:rFonts w:ascii="Arial" w:hAnsi="Arial" w:cs="Arial"/>
                <w:sz w:val="22"/>
                <w:szCs w:val="22"/>
              </w:rPr>
            </w:pPr>
            <w:r w:rsidRPr="006D0A53">
              <w:rPr>
                <w:rFonts w:ascii="Arial" w:hAnsi="Arial" w:cs="Arial"/>
                <w:b/>
                <w:bCs/>
                <w:sz w:val="22"/>
                <w:szCs w:val="22"/>
              </w:rPr>
              <w:t>Deadline</w:t>
            </w:r>
            <w:r w:rsidRPr="006D0A53">
              <w:rPr>
                <w:rFonts w:ascii="Arial" w:hAnsi="Arial" w:cs="Arial"/>
                <w:b/>
                <w:bCs/>
                <w:spacing w:val="-7"/>
                <w:sz w:val="22"/>
                <w:szCs w:val="22"/>
              </w:rPr>
              <w:t xml:space="preserve"> </w:t>
            </w:r>
            <w:r w:rsidRPr="006D0A53">
              <w:rPr>
                <w:rFonts w:ascii="Arial" w:hAnsi="Arial" w:cs="Arial"/>
                <w:b/>
                <w:bCs/>
                <w:sz w:val="22"/>
                <w:szCs w:val="22"/>
              </w:rPr>
              <w:t>for</w:t>
            </w:r>
            <w:r w:rsidRPr="006D0A53">
              <w:rPr>
                <w:rFonts w:ascii="Arial" w:hAnsi="Arial" w:cs="Arial"/>
                <w:b/>
                <w:bCs/>
                <w:spacing w:val="-5"/>
                <w:sz w:val="22"/>
                <w:szCs w:val="22"/>
              </w:rPr>
              <w:t xml:space="preserve"> </w:t>
            </w:r>
            <w:r w:rsidRPr="006D0A53">
              <w:rPr>
                <w:rFonts w:ascii="Arial" w:hAnsi="Arial" w:cs="Arial"/>
                <w:b/>
                <w:bCs/>
                <w:sz w:val="22"/>
                <w:szCs w:val="22"/>
              </w:rPr>
              <w:t>Inspections/Examinations: </w:t>
            </w:r>
          </w:p>
        </w:tc>
        <w:tc>
          <w:tcPr>
            <w:tcW w:w="22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FF60F7" w14:textId="77777777" w:rsidR="006D0A53" w:rsidRPr="006D0A53" w:rsidRDefault="006D0A53">
            <w:pPr>
              <w:rPr>
                <w:rFonts w:ascii="Arial" w:hAnsi="Arial" w:cs="Arial"/>
                <w:sz w:val="22"/>
                <w:szCs w:val="22"/>
              </w:rPr>
            </w:pPr>
            <w:r w:rsidRPr="006D0A53">
              <w:rPr>
                <w:rFonts w:ascii="Arial" w:hAnsi="Arial" w:cs="Arial"/>
                <w:color w:val="FF0000"/>
                <w:sz w:val="22"/>
                <w:szCs w:val="22"/>
              </w:rPr>
              <w:t>270</w:t>
            </w:r>
            <w:r w:rsidRPr="006D0A53">
              <w:rPr>
                <w:rFonts w:ascii="Arial" w:hAnsi="Arial" w:cs="Arial"/>
                <w:sz w:val="22"/>
                <w:szCs w:val="22"/>
              </w:rPr>
              <w:t xml:space="preserve"> days </w:t>
            </w:r>
            <w:r w:rsidRPr="006D0A53">
              <w:rPr>
                <w:rFonts w:ascii="Arial" w:hAnsi="Arial" w:cs="Arial"/>
                <w:color w:val="000000"/>
                <w:sz w:val="22"/>
                <w:szCs w:val="22"/>
                <w:shd w:val="clear" w:color="auto" w:fill="FFFFFF"/>
              </w:rPr>
              <w:t xml:space="preserve">from Order Designating Case as Complex </w:t>
            </w:r>
          </w:p>
        </w:tc>
      </w:tr>
      <w:tr w:rsidR="006D0A53" w:rsidRPr="006D0A53" w14:paraId="35370387" w14:textId="77777777" w:rsidTr="006D0A53">
        <w:trPr>
          <w:trHeight w:val="710"/>
        </w:trPr>
        <w:tc>
          <w:tcPr>
            <w:tcW w:w="27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CEEE8" w14:textId="77777777" w:rsidR="006D0A53" w:rsidRPr="006D0A53" w:rsidRDefault="006D0A53">
            <w:pPr>
              <w:rPr>
                <w:rFonts w:ascii="Arial" w:hAnsi="Arial" w:cs="Arial"/>
                <w:b/>
                <w:bCs/>
                <w:sz w:val="22"/>
                <w:szCs w:val="22"/>
              </w:rPr>
            </w:pPr>
            <w:r w:rsidRPr="006D0A53">
              <w:rPr>
                <w:rFonts w:ascii="Arial" w:hAnsi="Arial" w:cs="Arial"/>
                <w:b/>
                <w:bCs/>
                <w:sz w:val="22"/>
                <w:szCs w:val="22"/>
              </w:rPr>
              <w:t>Deadlines for Adding Parties</w:t>
            </w:r>
          </w:p>
        </w:tc>
        <w:tc>
          <w:tcPr>
            <w:tcW w:w="22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B621AF" w14:textId="77777777" w:rsidR="006D0A53" w:rsidRPr="006D0A53" w:rsidRDefault="006D0A53">
            <w:pPr>
              <w:rPr>
                <w:rFonts w:ascii="Arial" w:hAnsi="Arial" w:cs="Arial"/>
                <w:sz w:val="22"/>
                <w:szCs w:val="22"/>
              </w:rPr>
            </w:pPr>
            <w:r w:rsidRPr="006D0A53">
              <w:rPr>
                <w:rFonts w:ascii="Arial" w:hAnsi="Arial" w:cs="Arial"/>
                <w:color w:val="FF0000"/>
                <w:sz w:val="22"/>
                <w:szCs w:val="22"/>
              </w:rPr>
              <w:t>300</w:t>
            </w:r>
            <w:r w:rsidRPr="006D0A53">
              <w:rPr>
                <w:rFonts w:ascii="Arial" w:hAnsi="Arial" w:cs="Arial"/>
                <w:sz w:val="22"/>
                <w:szCs w:val="22"/>
              </w:rPr>
              <w:t xml:space="preserve"> </w:t>
            </w:r>
            <w:r w:rsidRPr="006D0A53">
              <w:rPr>
                <w:rFonts w:ascii="Arial" w:hAnsi="Arial" w:cs="Arial"/>
                <w:color w:val="000000"/>
                <w:sz w:val="22"/>
                <w:szCs w:val="22"/>
                <w:shd w:val="clear" w:color="auto" w:fill="FFFFFF"/>
              </w:rPr>
              <w:t>from Order Designating Case as Complex</w:t>
            </w:r>
          </w:p>
        </w:tc>
      </w:tr>
      <w:tr w:rsidR="006D0A53" w:rsidRPr="006D0A53" w14:paraId="2D2B7ACC" w14:textId="77777777" w:rsidTr="006D0A53">
        <w:tc>
          <w:tcPr>
            <w:tcW w:w="27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8F1A6D" w14:textId="77777777" w:rsidR="006D0A53" w:rsidRPr="006D0A53" w:rsidRDefault="006D0A53">
            <w:pPr>
              <w:rPr>
                <w:rFonts w:ascii="Arial" w:hAnsi="Arial" w:cs="Arial"/>
                <w:b/>
                <w:bCs/>
                <w:sz w:val="22"/>
                <w:szCs w:val="22"/>
              </w:rPr>
            </w:pPr>
            <w:r w:rsidRPr="006D0A53">
              <w:rPr>
                <w:rFonts w:ascii="Arial" w:hAnsi="Arial" w:cs="Arial"/>
                <w:b/>
                <w:bCs/>
                <w:sz w:val="22"/>
                <w:szCs w:val="22"/>
              </w:rPr>
              <w:t>Deadline</w:t>
            </w:r>
            <w:r w:rsidRPr="006D0A53">
              <w:rPr>
                <w:rFonts w:ascii="Arial" w:hAnsi="Arial" w:cs="Arial"/>
                <w:b/>
                <w:bCs/>
                <w:spacing w:val="-7"/>
                <w:sz w:val="22"/>
                <w:szCs w:val="22"/>
              </w:rPr>
              <w:t xml:space="preserve"> </w:t>
            </w:r>
            <w:r w:rsidRPr="006D0A53">
              <w:rPr>
                <w:rFonts w:ascii="Arial" w:hAnsi="Arial" w:cs="Arial"/>
                <w:b/>
                <w:bCs/>
                <w:sz w:val="22"/>
                <w:szCs w:val="22"/>
              </w:rPr>
              <w:t>for</w:t>
            </w:r>
            <w:r w:rsidRPr="006D0A53">
              <w:rPr>
                <w:rFonts w:ascii="Arial" w:hAnsi="Arial" w:cs="Arial"/>
                <w:b/>
                <w:bCs/>
                <w:spacing w:val="-5"/>
                <w:sz w:val="22"/>
                <w:szCs w:val="22"/>
              </w:rPr>
              <w:t xml:space="preserve"> Fact </w:t>
            </w:r>
            <w:r w:rsidRPr="006D0A53">
              <w:rPr>
                <w:rFonts w:ascii="Arial" w:hAnsi="Arial" w:cs="Arial"/>
                <w:b/>
                <w:bCs/>
                <w:sz w:val="22"/>
                <w:szCs w:val="22"/>
              </w:rPr>
              <w:t>Discovery</w:t>
            </w:r>
            <w:r w:rsidRPr="006D0A53">
              <w:rPr>
                <w:rFonts w:ascii="Arial" w:hAnsi="Arial" w:cs="Arial"/>
                <w:b/>
                <w:bCs/>
                <w:spacing w:val="-7"/>
                <w:sz w:val="22"/>
                <w:szCs w:val="22"/>
              </w:rPr>
              <w:t xml:space="preserve"> </w:t>
            </w:r>
            <w:r w:rsidRPr="006D0A53">
              <w:rPr>
                <w:rFonts w:ascii="Arial" w:hAnsi="Arial" w:cs="Arial"/>
                <w:b/>
                <w:bCs/>
                <w:sz w:val="22"/>
                <w:szCs w:val="22"/>
              </w:rPr>
              <w:t>Completion</w:t>
            </w:r>
            <w:r w:rsidRPr="006D0A53">
              <w:rPr>
                <w:rFonts w:ascii="Arial" w:hAnsi="Arial" w:cs="Arial"/>
                <w:b/>
                <w:bCs/>
                <w:spacing w:val="-6"/>
                <w:sz w:val="22"/>
                <w:szCs w:val="22"/>
              </w:rPr>
              <w:t xml:space="preserve"> </w:t>
            </w:r>
            <w:r w:rsidRPr="006D0A53">
              <w:rPr>
                <w:rFonts w:ascii="Arial" w:hAnsi="Arial" w:cs="Arial"/>
                <w:b/>
                <w:bCs/>
                <w:sz w:val="22"/>
                <w:szCs w:val="22"/>
              </w:rPr>
              <w:t>(Including</w:t>
            </w:r>
            <w:r w:rsidRPr="006D0A53">
              <w:rPr>
                <w:rFonts w:ascii="Arial" w:hAnsi="Arial" w:cs="Arial"/>
                <w:b/>
                <w:bCs/>
                <w:spacing w:val="-57"/>
                <w:sz w:val="22"/>
                <w:szCs w:val="22"/>
              </w:rPr>
              <w:t xml:space="preserve"> </w:t>
            </w:r>
            <w:r w:rsidRPr="006D0A53">
              <w:rPr>
                <w:rFonts w:ascii="Arial" w:hAnsi="Arial" w:cs="Arial"/>
                <w:b/>
                <w:bCs/>
                <w:sz w:val="22"/>
                <w:szCs w:val="22"/>
              </w:rPr>
              <w:t>Depositions): </w:t>
            </w:r>
          </w:p>
        </w:tc>
        <w:tc>
          <w:tcPr>
            <w:tcW w:w="22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F58CE7" w14:textId="77777777" w:rsidR="006D0A53" w:rsidRPr="006D0A53" w:rsidRDefault="006D0A53">
            <w:pPr>
              <w:rPr>
                <w:rFonts w:ascii="Arial" w:hAnsi="Arial" w:cs="Arial"/>
                <w:sz w:val="22"/>
                <w:szCs w:val="22"/>
                <w:shd w:val="clear" w:color="auto" w:fill="FFFFFF"/>
              </w:rPr>
            </w:pPr>
            <w:r w:rsidRPr="006D0A53">
              <w:rPr>
                <w:rFonts w:ascii="Arial" w:hAnsi="Arial" w:cs="Arial"/>
                <w:color w:val="FF0000"/>
                <w:sz w:val="22"/>
                <w:szCs w:val="22"/>
              </w:rPr>
              <w:t>365</w:t>
            </w:r>
            <w:r w:rsidRPr="006D0A53">
              <w:rPr>
                <w:rFonts w:ascii="Arial" w:hAnsi="Arial" w:cs="Arial"/>
                <w:sz w:val="22"/>
                <w:szCs w:val="22"/>
              </w:rPr>
              <w:t xml:space="preserve"> days </w:t>
            </w:r>
            <w:r w:rsidRPr="006D0A53">
              <w:rPr>
                <w:rFonts w:ascii="Arial" w:hAnsi="Arial" w:cs="Arial"/>
                <w:color w:val="000000"/>
                <w:sz w:val="22"/>
                <w:szCs w:val="22"/>
                <w:shd w:val="clear" w:color="auto" w:fill="FFFFFF"/>
              </w:rPr>
              <w:t xml:space="preserve">from Order Designating Case as Complex </w:t>
            </w:r>
          </w:p>
        </w:tc>
      </w:tr>
      <w:tr w:rsidR="006D0A53" w:rsidRPr="006D0A53" w14:paraId="68AAA82E" w14:textId="77777777" w:rsidTr="006D0A53">
        <w:tc>
          <w:tcPr>
            <w:tcW w:w="27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12A7C4" w14:textId="77777777" w:rsidR="006D0A53" w:rsidRPr="006D0A53" w:rsidRDefault="006D0A53">
            <w:pPr>
              <w:rPr>
                <w:rFonts w:ascii="Arial" w:hAnsi="Arial" w:cs="Arial"/>
                <w:b/>
                <w:bCs/>
                <w:sz w:val="22"/>
                <w:szCs w:val="22"/>
              </w:rPr>
            </w:pPr>
            <w:r w:rsidRPr="006D0A53">
              <w:rPr>
                <w:rFonts w:ascii="Arial" w:hAnsi="Arial" w:cs="Arial"/>
                <w:b/>
                <w:bCs/>
                <w:sz w:val="22"/>
                <w:szCs w:val="22"/>
              </w:rPr>
              <w:t>Deadline</w:t>
            </w:r>
            <w:r w:rsidRPr="006D0A53">
              <w:rPr>
                <w:rFonts w:ascii="Arial" w:hAnsi="Arial" w:cs="Arial"/>
                <w:b/>
                <w:bCs/>
                <w:spacing w:val="-5"/>
                <w:sz w:val="22"/>
                <w:szCs w:val="22"/>
              </w:rPr>
              <w:t xml:space="preserve"> </w:t>
            </w:r>
            <w:r w:rsidRPr="006D0A53">
              <w:rPr>
                <w:rFonts w:ascii="Arial" w:hAnsi="Arial" w:cs="Arial"/>
                <w:b/>
                <w:bCs/>
                <w:sz w:val="22"/>
                <w:szCs w:val="22"/>
              </w:rPr>
              <w:t>for</w:t>
            </w:r>
            <w:r w:rsidRPr="006D0A53">
              <w:rPr>
                <w:rFonts w:ascii="Arial" w:hAnsi="Arial" w:cs="Arial"/>
                <w:b/>
                <w:bCs/>
                <w:spacing w:val="-3"/>
                <w:sz w:val="22"/>
                <w:szCs w:val="22"/>
              </w:rPr>
              <w:t xml:space="preserve"> </w:t>
            </w:r>
            <w:r w:rsidRPr="006D0A53">
              <w:rPr>
                <w:rFonts w:ascii="Arial" w:hAnsi="Arial" w:cs="Arial"/>
                <w:b/>
                <w:bCs/>
                <w:sz w:val="22"/>
                <w:szCs w:val="22"/>
              </w:rPr>
              <w:t>Expert</w:t>
            </w:r>
            <w:r w:rsidRPr="006D0A53">
              <w:rPr>
                <w:rFonts w:ascii="Arial" w:hAnsi="Arial" w:cs="Arial"/>
                <w:b/>
                <w:bCs/>
                <w:spacing w:val="-4"/>
                <w:sz w:val="22"/>
                <w:szCs w:val="22"/>
              </w:rPr>
              <w:t xml:space="preserve"> </w:t>
            </w:r>
            <w:r w:rsidRPr="006D0A53">
              <w:rPr>
                <w:rFonts w:ascii="Arial" w:hAnsi="Arial" w:cs="Arial"/>
                <w:b/>
                <w:bCs/>
                <w:sz w:val="22"/>
                <w:szCs w:val="22"/>
              </w:rPr>
              <w:t>Disclosure: </w:t>
            </w:r>
          </w:p>
        </w:tc>
        <w:tc>
          <w:tcPr>
            <w:tcW w:w="22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B0B3A" w14:textId="77777777" w:rsidR="006D0A53" w:rsidRPr="006D0A53" w:rsidRDefault="006D0A53">
            <w:pPr>
              <w:rPr>
                <w:rFonts w:ascii="Arial" w:hAnsi="Arial" w:cs="Arial"/>
                <w:sz w:val="22"/>
                <w:szCs w:val="22"/>
              </w:rPr>
            </w:pPr>
            <w:r w:rsidRPr="006D0A53">
              <w:rPr>
                <w:rFonts w:ascii="Arial" w:hAnsi="Arial" w:cs="Arial"/>
                <w:color w:val="FF0000"/>
                <w:sz w:val="22"/>
                <w:szCs w:val="22"/>
              </w:rPr>
              <w:t>400</w:t>
            </w:r>
            <w:r w:rsidRPr="006D0A53">
              <w:rPr>
                <w:rFonts w:ascii="Arial" w:hAnsi="Arial" w:cs="Arial"/>
                <w:sz w:val="22"/>
                <w:szCs w:val="22"/>
              </w:rPr>
              <w:t xml:space="preserve"> days </w:t>
            </w:r>
            <w:r w:rsidRPr="006D0A53">
              <w:rPr>
                <w:rFonts w:ascii="Arial" w:hAnsi="Arial" w:cs="Arial"/>
                <w:color w:val="000000"/>
                <w:sz w:val="22"/>
                <w:szCs w:val="22"/>
                <w:shd w:val="clear" w:color="auto" w:fill="FFFFFF"/>
              </w:rPr>
              <w:t>from Order Designating Case as Complex</w:t>
            </w:r>
          </w:p>
        </w:tc>
      </w:tr>
      <w:tr w:rsidR="006D0A53" w:rsidRPr="006D0A53" w14:paraId="56FFF11C" w14:textId="77777777" w:rsidTr="006D0A53">
        <w:tc>
          <w:tcPr>
            <w:tcW w:w="27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02CD24" w14:textId="77777777" w:rsidR="006D0A53" w:rsidRPr="006D0A53" w:rsidRDefault="006D0A53">
            <w:pPr>
              <w:rPr>
                <w:rFonts w:ascii="Arial" w:hAnsi="Arial" w:cs="Arial"/>
                <w:b/>
                <w:bCs/>
                <w:sz w:val="22"/>
                <w:szCs w:val="22"/>
              </w:rPr>
            </w:pPr>
            <w:r w:rsidRPr="006D0A53">
              <w:rPr>
                <w:rFonts w:ascii="Arial" w:hAnsi="Arial" w:cs="Arial"/>
                <w:b/>
                <w:bCs/>
                <w:sz w:val="22"/>
                <w:szCs w:val="22"/>
              </w:rPr>
              <w:t>Deadline For Expert Discovery Completion (including Depositions)</w:t>
            </w:r>
          </w:p>
        </w:tc>
        <w:tc>
          <w:tcPr>
            <w:tcW w:w="22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4D583" w14:textId="77777777" w:rsidR="006D0A53" w:rsidRPr="006D0A53" w:rsidRDefault="006D0A53">
            <w:pPr>
              <w:rPr>
                <w:rFonts w:ascii="Arial" w:hAnsi="Arial" w:cs="Arial"/>
                <w:sz w:val="22"/>
                <w:szCs w:val="22"/>
              </w:rPr>
            </w:pPr>
            <w:r w:rsidRPr="006D0A53">
              <w:rPr>
                <w:rFonts w:ascii="Arial" w:hAnsi="Arial" w:cs="Arial"/>
                <w:color w:val="FF0000"/>
                <w:sz w:val="22"/>
                <w:szCs w:val="22"/>
              </w:rPr>
              <w:t>485</w:t>
            </w:r>
            <w:r w:rsidRPr="006D0A53">
              <w:rPr>
                <w:rFonts w:ascii="Arial" w:hAnsi="Arial" w:cs="Arial"/>
                <w:sz w:val="22"/>
                <w:szCs w:val="22"/>
              </w:rPr>
              <w:t xml:space="preserve"> days from </w:t>
            </w:r>
            <w:r w:rsidRPr="006D0A53">
              <w:rPr>
                <w:rFonts w:ascii="Arial" w:hAnsi="Arial" w:cs="Arial"/>
                <w:color w:val="000000"/>
                <w:sz w:val="22"/>
                <w:szCs w:val="22"/>
                <w:shd w:val="clear" w:color="auto" w:fill="FFFFFF"/>
              </w:rPr>
              <w:t>Order Designating Case as Complex</w:t>
            </w:r>
          </w:p>
        </w:tc>
      </w:tr>
      <w:tr w:rsidR="006D0A53" w:rsidRPr="006D0A53" w14:paraId="5252F1B6" w14:textId="77777777" w:rsidTr="006D0A53">
        <w:tc>
          <w:tcPr>
            <w:tcW w:w="27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D195F1" w14:textId="77777777" w:rsidR="006D0A53" w:rsidRPr="006D0A53" w:rsidRDefault="006D0A53">
            <w:pPr>
              <w:rPr>
                <w:rFonts w:ascii="Arial" w:hAnsi="Arial" w:cs="Arial"/>
                <w:b/>
                <w:bCs/>
                <w:sz w:val="22"/>
                <w:szCs w:val="22"/>
              </w:rPr>
            </w:pPr>
            <w:r w:rsidRPr="006D0A53">
              <w:rPr>
                <w:rFonts w:ascii="Arial" w:hAnsi="Arial" w:cs="Arial"/>
                <w:b/>
                <w:bCs/>
                <w:sz w:val="22"/>
                <w:szCs w:val="22"/>
              </w:rPr>
              <w:t>Deadline</w:t>
            </w:r>
            <w:r w:rsidRPr="006D0A53">
              <w:rPr>
                <w:rFonts w:ascii="Arial" w:hAnsi="Arial" w:cs="Arial"/>
                <w:b/>
                <w:bCs/>
                <w:spacing w:val="-5"/>
                <w:sz w:val="22"/>
                <w:szCs w:val="22"/>
              </w:rPr>
              <w:t xml:space="preserve"> </w:t>
            </w:r>
            <w:r w:rsidRPr="006D0A53">
              <w:rPr>
                <w:rFonts w:ascii="Arial" w:hAnsi="Arial" w:cs="Arial"/>
                <w:b/>
                <w:bCs/>
                <w:sz w:val="22"/>
                <w:szCs w:val="22"/>
              </w:rPr>
              <w:t>for</w:t>
            </w:r>
            <w:r w:rsidRPr="006D0A53">
              <w:rPr>
                <w:rFonts w:ascii="Arial" w:hAnsi="Arial" w:cs="Arial"/>
                <w:b/>
                <w:bCs/>
                <w:spacing w:val="-4"/>
                <w:sz w:val="22"/>
                <w:szCs w:val="22"/>
              </w:rPr>
              <w:t xml:space="preserve"> </w:t>
            </w:r>
            <w:r w:rsidRPr="006D0A53">
              <w:rPr>
                <w:rFonts w:ascii="Arial" w:hAnsi="Arial" w:cs="Arial"/>
                <w:b/>
                <w:bCs/>
                <w:sz w:val="22"/>
                <w:szCs w:val="22"/>
              </w:rPr>
              <w:t>Dispositive</w:t>
            </w:r>
            <w:r w:rsidRPr="006D0A53">
              <w:rPr>
                <w:rFonts w:ascii="Arial" w:hAnsi="Arial" w:cs="Arial"/>
                <w:b/>
                <w:bCs/>
                <w:spacing w:val="-4"/>
                <w:sz w:val="22"/>
                <w:szCs w:val="22"/>
              </w:rPr>
              <w:t xml:space="preserve"> </w:t>
            </w:r>
            <w:r w:rsidRPr="006D0A53">
              <w:rPr>
                <w:rFonts w:ascii="Arial" w:hAnsi="Arial" w:cs="Arial"/>
                <w:b/>
                <w:bCs/>
                <w:sz w:val="22"/>
                <w:szCs w:val="22"/>
              </w:rPr>
              <w:t>Motions: </w:t>
            </w:r>
          </w:p>
        </w:tc>
        <w:tc>
          <w:tcPr>
            <w:tcW w:w="22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71FF11" w14:textId="77777777" w:rsidR="006D0A53" w:rsidRPr="006D0A53" w:rsidRDefault="006D0A53">
            <w:pPr>
              <w:rPr>
                <w:rFonts w:ascii="Arial" w:hAnsi="Arial" w:cs="Arial"/>
                <w:sz w:val="22"/>
                <w:szCs w:val="22"/>
              </w:rPr>
            </w:pPr>
            <w:r w:rsidRPr="006D0A53">
              <w:rPr>
                <w:rFonts w:ascii="Arial" w:hAnsi="Arial" w:cs="Arial"/>
                <w:color w:val="FF0000"/>
                <w:sz w:val="22"/>
                <w:szCs w:val="22"/>
              </w:rPr>
              <w:t>610</w:t>
            </w:r>
            <w:r w:rsidRPr="006D0A53">
              <w:rPr>
                <w:rFonts w:ascii="Arial" w:hAnsi="Arial" w:cs="Arial"/>
                <w:sz w:val="22"/>
                <w:szCs w:val="22"/>
              </w:rPr>
              <w:t xml:space="preserve"> days from </w:t>
            </w:r>
            <w:r w:rsidRPr="006D0A53">
              <w:rPr>
                <w:rFonts w:ascii="Arial" w:hAnsi="Arial" w:cs="Arial"/>
                <w:color w:val="000000"/>
                <w:sz w:val="22"/>
                <w:szCs w:val="22"/>
                <w:shd w:val="clear" w:color="auto" w:fill="FFFFFF"/>
              </w:rPr>
              <w:t>Order Designating Case as Complex</w:t>
            </w:r>
            <w:r w:rsidRPr="006D0A53">
              <w:rPr>
                <w:rFonts w:ascii="Arial" w:hAnsi="Arial" w:cs="Arial"/>
                <w:sz w:val="22"/>
                <w:szCs w:val="22"/>
              </w:rPr>
              <w:t xml:space="preserve"> </w:t>
            </w:r>
          </w:p>
        </w:tc>
      </w:tr>
      <w:tr w:rsidR="006D0A53" w:rsidRPr="006D0A53" w14:paraId="6D6E199E" w14:textId="77777777" w:rsidTr="006D0A53">
        <w:tc>
          <w:tcPr>
            <w:tcW w:w="27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0FB858" w14:textId="77777777" w:rsidR="006D0A53" w:rsidRPr="006D0A53" w:rsidRDefault="006D0A53">
            <w:pPr>
              <w:rPr>
                <w:rFonts w:ascii="Arial" w:hAnsi="Arial" w:cs="Arial"/>
                <w:b/>
                <w:bCs/>
                <w:sz w:val="22"/>
                <w:szCs w:val="22"/>
              </w:rPr>
            </w:pPr>
            <w:r w:rsidRPr="006D0A53">
              <w:rPr>
                <w:rFonts w:ascii="Arial" w:hAnsi="Arial" w:cs="Arial"/>
                <w:b/>
                <w:bCs/>
                <w:sz w:val="22"/>
                <w:szCs w:val="22"/>
              </w:rPr>
              <w:t>Deadline</w:t>
            </w:r>
            <w:r w:rsidRPr="006D0A53">
              <w:rPr>
                <w:rFonts w:ascii="Arial" w:hAnsi="Arial" w:cs="Arial"/>
                <w:b/>
                <w:bCs/>
                <w:spacing w:val="-5"/>
                <w:sz w:val="22"/>
                <w:szCs w:val="22"/>
              </w:rPr>
              <w:t xml:space="preserve"> </w:t>
            </w:r>
            <w:r w:rsidRPr="006D0A53">
              <w:rPr>
                <w:rFonts w:ascii="Arial" w:hAnsi="Arial" w:cs="Arial"/>
                <w:b/>
                <w:bCs/>
                <w:sz w:val="22"/>
                <w:szCs w:val="22"/>
              </w:rPr>
              <w:t>for</w:t>
            </w:r>
            <w:r w:rsidRPr="006D0A53">
              <w:rPr>
                <w:rFonts w:ascii="Arial" w:hAnsi="Arial" w:cs="Arial"/>
                <w:b/>
                <w:bCs/>
                <w:spacing w:val="-3"/>
                <w:sz w:val="22"/>
                <w:szCs w:val="22"/>
              </w:rPr>
              <w:t xml:space="preserve"> </w:t>
            </w:r>
            <w:r w:rsidRPr="006D0A53">
              <w:rPr>
                <w:rFonts w:ascii="Arial" w:hAnsi="Arial" w:cs="Arial"/>
                <w:b/>
                <w:bCs/>
                <w:sz w:val="22"/>
                <w:szCs w:val="22"/>
              </w:rPr>
              <w:t>ADR/Mediation: </w:t>
            </w:r>
          </w:p>
        </w:tc>
        <w:tc>
          <w:tcPr>
            <w:tcW w:w="22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FF105" w14:textId="77777777" w:rsidR="006D0A53" w:rsidRPr="006D0A53" w:rsidRDefault="006D0A53">
            <w:pPr>
              <w:rPr>
                <w:rFonts w:ascii="Arial" w:hAnsi="Arial" w:cs="Arial"/>
                <w:sz w:val="22"/>
                <w:szCs w:val="22"/>
              </w:rPr>
            </w:pPr>
            <w:r w:rsidRPr="006D0A53">
              <w:rPr>
                <w:rFonts w:ascii="Arial" w:hAnsi="Arial" w:cs="Arial"/>
                <w:color w:val="FF0000"/>
                <w:sz w:val="22"/>
                <w:szCs w:val="22"/>
              </w:rPr>
              <w:t>610</w:t>
            </w:r>
            <w:r w:rsidRPr="006D0A53">
              <w:rPr>
                <w:rFonts w:ascii="Arial" w:hAnsi="Arial" w:cs="Arial"/>
                <w:sz w:val="22"/>
                <w:szCs w:val="22"/>
              </w:rPr>
              <w:t xml:space="preserve"> days from </w:t>
            </w:r>
            <w:r w:rsidRPr="006D0A53">
              <w:rPr>
                <w:rFonts w:ascii="Arial" w:hAnsi="Arial" w:cs="Arial"/>
                <w:color w:val="000000"/>
                <w:sz w:val="22"/>
                <w:szCs w:val="22"/>
                <w:shd w:val="clear" w:color="auto" w:fill="FFFFFF"/>
              </w:rPr>
              <w:t>Order Designating Case as Complex</w:t>
            </w:r>
          </w:p>
        </w:tc>
      </w:tr>
      <w:tr w:rsidR="006D0A53" w:rsidRPr="006D0A53" w14:paraId="0620B99B" w14:textId="77777777" w:rsidTr="006D0A53">
        <w:trPr>
          <w:trHeight w:val="773"/>
        </w:trPr>
        <w:tc>
          <w:tcPr>
            <w:tcW w:w="27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D9A335" w14:textId="77777777" w:rsidR="006D0A53" w:rsidRPr="006D0A53" w:rsidRDefault="006D0A53">
            <w:pPr>
              <w:rPr>
                <w:rFonts w:ascii="Arial" w:hAnsi="Arial" w:cs="Arial"/>
                <w:b/>
                <w:bCs/>
                <w:sz w:val="22"/>
                <w:szCs w:val="22"/>
              </w:rPr>
            </w:pPr>
            <w:r w:rsidRPr="006D0A53">
              <w:rPr>
                <w:rFonts w:ascii="Arial" w:hAnsi="Arial" w:cs="Arial"/>
                <w:b/>
                <w:bCs/>
                <w:sz w:val="22"/>
                <w:szCs w:val="22"/>
              </w:rPr>
              <w:t xml:space="preserve">Deadline for Final Witness and Exhibit List </w:t>
            </w:r>
          </w:p>
        </w:tc>
        <w:tc>
          <w:tcPr>
            <w:tcW w:w="22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56F5CE" w14:textId="77777777" w:rsidR="006D0A53" w:rsidRPr="006D0A53" w:rsidRDefault="006D0A53">
            <w:pPr>
              <w:rPr>
                <w:rFonts w:ascii="Arial" w:hAnsi="Arial" w:cs="Arial"/>
                <w:sz w:val="22"/>
                <w:szCs w:val="22"/>
              </w:rPr>
            </w:pPr>
            <w:r w:rsidRPr="006D0A53">
              <w:rPr>
                <w:rFonts w:ascii="Arial" w:hAnsi="Arial" w:cs="Arial"/>
                <w:color w:val="FF0000"/>
                <w:sz w:val="22"/>
                <w:szCs w:val="22"/>
              </w:rPr>
              <w:t>640</w:t>
            </w:r>
            <w:r w:rsidRPr="006D0A53">
              <w:rPr>
                <w:rFonts w:ascii="Arial" w:hAnsi="Arial" w:cs="Arial"/>
                <w:sz w:val="22"/>
                <w:szCs w:val="22"/>
              </w:rPr>
              <w:t xml:space="preserve"> days from Order designating Case as Complex </w:t>
            </w:r>
          </w:p>
        </w:tc>
      </w:tr>
      <w:tr w:rsidR="006D0A53" w:rsidRPr="006D0A53" w14:paraId="282AB3C7" w14:textId="77777777" w:rsidTr="006D0A53">
        <w:tc>
          <w:tcPr>
            <w:tcW w:w="27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7D13A6" w14:textId="77777777" w:rsidR="006D0A53" w:rsidRPr="006D0A53" w:rsidRDefault="006D0A53">
            <w:pPr>
              <w:rPr>
                <w:rFonts w:ascii="Arial" w:hAnsi="Arial" w:cs="Arial"/>
                <w:sz w:val="22"/>
                <w:szCs w:val="22"/>
              </w:rPr>
            </w:pPr>
            <w:r w:rsidRPr="006D0A53">
              <w:rPr>
                <w:rFonts w:ascii="Arial" w:hAnsi="Arial" w:cs="Arial"/>
                <w:b/>
                <w:bCs/>
                <w:sz w:val="22"/>
                <w:szCs w:val="22"/>
              </w:rPr>
              <w:t>Deadline</w:t>
            </w:r>
            <w:r w:rsidRPr="006D0A53">
              <w:rPr>
                <w:rFonts w:ascii="Arial" w:hAnsi="Arial" w:cs="Arial"/>
                <w:b/>
                <w:bCs/>
                <w:spacing w:val="-4"/>
                <w:sz w:val="22"/>
                <w:szCs w:val="22"/>
              </w:rPr>
              <w:t xml:space="preserve"> </w:t>
            </w:r>
            <w:r w:rsidRPr="006D0A53">
              <w:rPr>
                <w:rFonts w:ascii="Arial" w:hAnsi="Arial" w:cs="Arial"/>
                <w:b/>
                <w:bCs/>
                <w:sz w:val="22"/>
                <w:szCs w:val="22"/>
              </w:rPr>
              <w:t>for</w:t>
            </w:r>
            <w:r w:rsidRPr="006D0A53">
              <w:rPr>
                <w:rFonts w:ascii="Arial" w:hAnsi="Arial" w:cs="Arial"/>
                <w:b/>
                <w:bCs/>
                <w:spacing w:val="-3"/>
                <w:sz w:val="22"/>
                <w:szCs w:val="22"/>
              </w:rPr>
              <w:t xml:space="preserve"> Pretrial Motions and </w:t>
            </w:r>
            <w:r w:rsidRPr="006D0A53">
              <w:rPr>
                <w:rFonts w:ascii="Arial" w:hAnsi="Arial" w:cs="Arial"/>
                <w:b/>
                <w:bCs/>
                <w:sz w:val="22"/>
                <w:szCs w:val="22"/>
              </w:rPr>
              <w:t>Jury</w:t>
            </w:r>
            <w:r w:rsidRPr="006D0A53">
              <w:rPr>
                <w:rFonts w:ascii="Arial" w:hAnsi="Arial" w:cs="Arial"/>
                <w:b/>
                <w:bCs/>
                <w:spacing w:val="-3"/>
                <w:sz w:val="22"/>
                <w:szCs w:val="22"/>
              </w:rPr>
              <w:t xml:space="preserve"> </w:t>
            </w:r>
            <w:r w:rsidRPr="006D0A53">
              <w:rPr>
                <w:rFonts w:ascii="Arial" w:hAnsi="Arial" w:cs="Arial"/>
                <w:b/>
                <w:bCs/>
                <w:sz w:val="22"/>
                <w:szCs w:val="22"/>
              </w:rPr>
              <w:t>Instructions: </w:t>
            </w:r>
          </w:p>
        </w:tc>
        <w:tc>
          <w:tcPr>
            <w:tcW w:w="22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67A4D1" w14:textId="77777777" w:rsidR="006D0A53" w:rsidRPr="006D0A53" w:rsidRDefault="006D0A53">
            <w:pPr>
              <w:rPr>
                <w:rFonts w:ascii="Arial" w:hAnsi="Arial" w:cs="Arial"/>
                <w:sz w:val="22"/>
                <w:szCs w:val="22"/>
              </w:rPr>
            </w:pPr>
            <w:r w:rsidRPr="006D0A53">
              <w:rPr>
                <w:rFonts w:ascii="Arial" w:hAnsi="Arial" w:cs="Arial"/>
                <w:color w:val="FF0000"/>
                <w:sz w:val="22"/>
                <w:szCs w:val="22"/>
              </w:rPr>
              <w:t>675</w:t>
            </w:r>
            <w:r w:rsidRPr="006D0A53">
              <w:rPr>
                <w:rFonts w:ascii="Arial" w:hAnsi="Arial" w:cs="Arial"/>
                <w:sz w:val="22"/>
                <w:szCs w:val="22"/>
              </w:rPr>
              <w:t xml:space="preserve"> days from </w:t>
            </w:r>
            <w:r w:rsidRPr="006D0A53">
              <w:rPr>
                <w:rFonts w:ascii="Arial" w:hAnsi="Arial" w:cs="Arial"/>
                <w:color w:val="000000"/>
                <w:sz w:val="22"/>
                <w:szCs w:val="22"/>
                <w:shd w:val="clear" w:color="auto" w:fill="FFFFFF"/>
              </w:rPr>
              <w:t>Order Designating Case as Complex</w:t>
            </w:r>
          </w:p>
        </w:tc>
      </w:tr>
      <w:tr w:rsidR="006D0A53" w:rsidRPr="006D0A53" w14:paraId="33ADF9FD" w14:textId="77777777" w:rsidTr="006D0A53">
        <w:tc>
          <w:tcPr>
            <w:tcW w:w="27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3FA892" w14:textId="77777777" w:rsidR="006D0A53" w:rsidRPr="006D0A53" w:rsidRDefault="006D0A53">
            <w:pPr>
              <w:rPr>
                <w:rFonts w:ascii="Arial" w:hAnsi="Arial" w:cs="Arial"/>
                <w:b/>
                <w:bCs/>
                <w:sz w:val="22"/>
                <w:szCs w:val="22"/>
              </w:rPr>
            </w:pPr>
            <w:r w:rsidRPr="006D0A53">
              <w:rPr>
                <w:rFonts w:ascii="Arial" w:hAnsi="Arial" w:cs="Arial"/>
                <w:b/>
                <w:bCs/>
                <w:sz w:val="22"/>
                <w:szCs w:val="22"/>
              </w:rPr>
              <w:t>Trial Ready Deadline</w:t>
            </w:r>
          </w:p>
        </w:tc>
        <w:tc>
          <w:tcPr>
            <w:tcW w:w="22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32A342" w14:textId="77777777" w:rsidR="006D0A53" w:rsidRPr="006D0A53" w:rsidRDefault="006D0A53">
            <w:pPr>
              <w:rPr>
                <w:rFonts w:ascii="Arial" w:hAnsi="Arial" w:cs="Arial"/>
                <w:sz w:val="22"/>
                <w:szCs w:val="22"/>
              </w:rPr>
            </w:pPr>
            <w:r w:rsidRPr="006D0A53">
              <w:rPr>
                <w:rFonts w:ascii="Arial" w:hAnsi="Arial" w:cs="Arial"/>
                <w:color w:val="FF0000"/>
                <w:sz w:val="22"/>
                <w:szCs w:val="22"/>
              </w:rPr>
              <w:t>685</w:t>
            </w:r>
            <w:r w:rsidRPr="006D0A53">
              <w:rPr>
                <w:rFonts w:ascii="Arial" w:hAnsi="Arial" w:cs="Arial"/>
                <w:sz w:val="22"/>
                <w:szCs w:val="22"/>
              </w:rPr>
              <w:t xml:space="preserve"> days from </w:t>
            </w:r>
            <w:r w:rsidRPr="006D0A53">
              <w:rPr>
                <w:rFonts w:ascii="Arial" w:hAnsi="Arial" w:cs="Arial"/>
                <w:color w:val="000000"/>
                <w:sz w:val="22"/>
                <w:szCs w:val="22"/>
                <w:shd w:val="clear" w:color="auto" w:fill="FFFFFF"/>
              </w:rPr>
              <w:t>Order Designating Case as Complex</w:t>
            </w:r>
          </w:p>
        </w:tc>
      </w:tr>
      <w:tr w:rsidR="006D0A53" w:rsidRPr="006D0A53" w14:paraId="37AAE9AD" w14:textId="77777777" w:rsidTr="006D0A53">
        <w:tc>
          <w:tcPr>
            <w:tcW w:w="27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5C1EAD" w14:textId="77777777" w:rsidR="006D0A53" w:rsidRPr="006D0A53" w:rsidRDefault="006D0A53">
            <w:pPr>
              <w:pStyle w:val="NormalWeb"/>
              <w:rPr>
                <w:rFonts w:ascii="Arial" w:hAnsi="Arial" w:cs="Arial"/>
                <w:b/>
                <w:bCs/>
                <w:color w:val="000000"/>
                <w:sz w:val="22"/>
                <w:szCs w:val="22"/>
              </w:rPr>
            </w:pPr>
            <w:r w:rsidRPr="006D0A53">
              <w:rPr>
                <w:rFonts w:ascii="Arial" w:hAnsi="Arial" w:cs="Arial"/>
                <w:b/>
                <w:bCs/>
                <w:color w:val="000000"/>
                <w:sz w:val="22"/>
                <w:szCs w:val="22"/>
              </w:rPr>
              <w:t>Trial Period</w:t>
            </w:r>
          </w:p>
        </w:tc>
        <w:tc>
          <w:tcPr>
            <w:tcW w:w="22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119C6D" w14:textId="77777777" w:rsidR="006D0A53" w:rsidRPr="006D0A53" w:rsidRDefault="006D0A53">
            <w:pPr>
              <w:rPr>
                <w:rFonts w:ascii="Arial" w:hAnsi="Arial" w:cs="Arial"/>
                <w:sz w:val="22"/>
                <w:szCs w:val="22"/>
              </w:rPr>
            </w:pPr>
            <w:r w:rsidRPr="006D0A53">
              <w:rPr>
                <w:rFonts w:ascii="Arial" w:hAnsi="Arial" w:cs="Arial"/>
                <w:sz w:val="22"/>
                <w:szCs w:val="22"/>
              </w:rPr>
              <w:t>Trial date -</w:t>
            </w:r>
            <w:r w:rsidRPr="006D0A53">
              <w:rPr>
                <w:rFonts w:ascii="Arial" w:hAnsi="Arial" w:cs="Arial"/>
                <w:color w:val="FF0000"/>
                <w:sz w:val="22"/>
                <w:szCs w:val="22"/>
              </w:rPr>
              <w:t>700</w:t>
            </w:r>
            <w:r w:rsidRPr="006D0A53">
              <w:rPr>
                <w:rFonts w:ascii="Arial" w:hAnsi="Arial" w:cs="Arial"/>
                <w:sz w:val="22"/>
                <w:szCs w:val="22"/>
              </w:rPr>
              <w:t xml:space="preserve"> days from Order Designating Case as Complex</w:t>
            </w:r>
          </w:p>
        </w:tc>
      </w:tr>
    </w:tbl>
    <w:p w14:paraId="0E7D1ECD" w14:textId="77777777" w:rsidR="00441886" w:rsidRPr="00441886" w:rsidRDefault="00441886" w:rsidP="00441886">
      <w:pPr>
        <w:rPr>
          <w:rFonts w:ascii="Times New Roman" w:hAnsi="Times New Roman" w:cs="Times New Roman"/>
        </w:rPr>
      </w:pPr>
    </w:p>
    <w:p w14:paraId="0DF0C0CE" w14:textId="4DA0E961" w:rsidR="00441886" w:rsidRPr="00441886" w:rsidRDefault="00441886" w:rsidP="00441886">
      <w:pPr>
        <w:jc w:val="center"/>
        <w:rPr>
          <w:rFonts w:ascii="Times New Roman" w:hAnsi="Times New Roman" w:cs="Times New Roman"/>
        </w:rPr>
      </w:pPr>
      <w:r w:rsidRPr="00441886">
        <w:rPr>
          <w:rFonts w:ascii="Times New Roman" w:hAnsi="Times New Roman" w:cs="Times New Roman"/>
          <w:b/>
          <w:bCs/>
          <w:u w:val="single"/>
        </w:rPr>
        <w:t>CASE MANAGEMENT PROCEDURES</w:t>
      </w:r>
      <w:r w:rsidRPr="00441886">
        <w:rPr>
          <w:rFonts w:ascii="Times New Roman" w:hAnsi="Times New Roman" w:cs="Times New Roman"/>
        </w:rPr>
        <w:br/>
      </w:r>
      <w:r w:rsidRPr="00441886">
        <w:rPr>
          <w:rFonts w:ascii="Times New Roman" w:hAnsi="Times New Roman" w:cs="Times New Roman"/>
          <w:b/>
          <w:bCs/>
          <w:u w:val="single"/>
        </w:rPr>
        <w:t>Motion Practice</w:t>
      </w:r>
    </w:p>
    <w:p w14:paraId="68215ADA" w14:textId="77777777" w:rsidR="00441886" w:rsidRPr="00441886" w:rsidRDefault="00441886" w:rsidP="00441886">
      <w:pPr>
        <w:numPr>
          <w:ilvl w:val="0"/>
          <w:numId w:val="1"/>
        </w:numPr>
        <w:rPr>
          <w:rFonts w:ascii="Times New Roman" w:hAnsi="Times New Roman" w:cs="Times New Roman"/>
        </w:rPr>
      </w:pPr>
      <w:r w:rsidRPr="00441886">
        <w:rPr>
          <w:rFonts w:ascii="Times New Roman" w:hAnsi="Times New Roman" w:cs="Times New Roman"/>
          <w:b/>
          <w:bCs/>
          <w:u w:val="single"/>
        </w:rPr>
        <w:t>Duty to Communicate</w:t>
      </w:r>
      <w:r w:rsidRPr="00441886">
        <w:rPr>
          <w:rFonts w:ascii="Times New Roman" w:hAnsi="Times New Roman" w:cs="Times New Roman"/>
        </w:rPr>
        <w:t>: In accordance with Florida Rules of Civil Procedure 1.202(a), before filing a non-dispositive motion, except for those motions exempted by Rule 1.202(c), the movant must confer with the opposing party in a good-faith effort to resolve the issues raised in the motion. If the parties are represented by counsel, such conferral must be between counsel, not through staff. “Good faith” includes being professional and temperate in communications, returning phone calls and emails in a timely manner, and not setting unreasonable deadlines for responses. The movant must file a certificate of conferral substantially in the form provided by Florida Rules of Civil Procedure 1.202(b), either certifying that conferral occurred or certifying that conferral is not required under Rule 1.202. Failure to comply with the requirements of Rule 1.202 may result in an appropriate sanction, including denial of a motion without prejudice. The purposeful evasion of communication under Rule 1.202 may result in an appropriate sanction.</w:t>
      </w:r>
    </w:p>
    <w:p w14:paraId="62A749FD" w14:textId="77777777" w:rsidR="00441886" w:rsidRPr="00441886" w:rsidRDefault="00441886" w:rsidP="00441886">
      <w:pPr>
        <w:numPr>
          <w:ilvl w:val="0"/>
          <w:numId w:val="1"/>
        </w:numPr>
        <w:rPr>
          <w:rFonts w:ascii="Times New Roman" w:hAnsi="Times New Roman" w:cs="Times New Roman"/>
        </w:rPr>
      </w:pPr>
      <w:r w:rsidRPr="00441886">
        <w:rPr>
          <w:rFonts w:ascii="Times New Roman" w:hAnsi="Times New Roman" w:cs="Times New Roman"/>
          <w:b/>
          <w:bCs/>
          <w:u w:val="single"/>
        </w:rPr>
        <w:t>Scheduling of Hearings</w:t>
      </w:r>
      <w:r w:rsidRPr="00441886">
        <w:rPr>
          <w:rFonts w:ascii="Times New Roman" w:hAnsi="Times New Roman" w:cs="Times New Roman"/>
        </w:rPr>
        <w:t xml:space="preserve"> Motions filed (other than dispositive motions or those requiring testimony) must be noticed for hearing on the first available motion calendar. Motions not promptly set for hearing may be ruled upon by the Court on the papers.</w:t>
      </w:r>
    </w:p>
    <w:p w14:paraId="46CE6539" w14:textId="77777777" w:rsidR="00441886" w:rsidRPr="00441886" w:rsidRDefault="00441886" w:rsidP="00441886">
      <w:pPr>
        <w:numPr>
          <w:ilvl w:val="0"/>
          <w:numId w:val="1"/>
        </w:numPr>
        <w:rPr>
          <w:rFonts w:ascii="Times New Roman" w:hAnsi="Times New Roman" w:cs="Times New Roman"/>
        </w:rPr>
      </w:pPr>
      <w:r w:rsidRPr="00441886">
        <w:rPr>
          <w:rFonts w:ascii="Times New Roman" w:hAnsi="Times New Roman" w:cs="Times New Roman"/>
          <w:b/>
          <w:bCs/>
          <w:u w:val="single"/>
        </w:rPr>
        <w:t>Compelling Discovery where there has been no response</w:t>
      </w:r>
      <w:r w:rsidRPr="00441886">
        <w:rPr>
          <w:rFonts w:ascii="Times New Roman" w:hAnsi="Times New Roman" w:cs="Times New Roman"/>
        </w:rPr>
        <w:t xml:space="preserve">: The parties are to comply with Administrative Order 06-09 when moving to compel production of propounded discovery.  These motions shall be submitted via </w:t>
      </w:r>
      <w:proofErr w:type="spellStart"/>
      <w:r w:rsidRPr="00441886">
        <w:rPr>
          <w:rFonts w:ascii="Times New Roman" w:hAnsi="Times New Roman" w:cs="Times New Roman"/>
        </w:rPr>
        <w:t>courtMAP</w:t>
      </w:r>
      <w:proofErr w:type="spellEnd"/>
      <w:r w:rsidRPr="00441886">
        <w:rPr>
          <w:rFonts w:ascii="Times New Roman" w:hAnsi="Times New Roman" w:cs="Times New Roman"/>
        </w:rPr>
        <w:t xml:space="preserve"> with supporting documents and shall </w:t>
      </w:r>
      <w:r w:rsidRPr="00441886">
        <w:rPr>
          <w:rFonts w:ascii="Times New Roman" w:hAnsi="Times New Roman" w:cs="Times New Roman"/>
          <w:u w:val="single"/>
        </w:rPr>
        <w:t>not</w:t>
      </w:r>
      <w:r w:rsidRPr="00441886">
        <w:rPr>
          <w:rFonts w:ascii="Times New Roman" w:hAnsi="Times New Roman" w:cs="Times New Roman"/>
        </w:rPr>
        <w:t xml:space="preserve"> be placed on motion calendar.</w:t>
      </w:r>
    </w:p>
    <w:p w14:paraId="770E0E46" w14:textId="77777777" w:rsidR="00441886" w:rsidRPr="00441886" w:rsidRDefault="00441886" w:rsidP="00441886">
      <w:pPr>
        <w:numPr>
          <w:ilvl w:val="0"/>
          <w:numId w:val="1"/>
        </w:numPr>
        <w:rPr>
          <w:rFonts w:ascii="Times New Roman" w:hAnsi="Times New Roman" w:cs="Times New Roman"/>
        </w:rPr>
      </w:pPr>
      <w:r w:rsidRPr="00441886">
        <w:rPr>
          <w:rFonts w:ascii="Times New Roman" w:hAnsi="Times New Roman" w:cs="Times New Roman"/>
          <w:b/>
          <w:bCs/>
          <w:u w:val="single"/>
        </w:rPr>
        <w:t>Motions for Protective Order</w:t>
      </w:r>
      <w:r w:rsidRPr="00441886">
        <w:rPr>
          <w:rFonts w:ascii="Times New Roman" w:hAnsi="Times New Roman" w:cs="Times New Roman"/>
        </w:rPr>
        <w:t xml:space="preserve"> Motions for </w:t>
      </w:r>
      <w:proofErr w:type="gramStart"/>
      <w:r w:rsidRPr="00441886">
        <w:rPr>
          <w:rFonts w:ascii="Times New Roman" w:hAnsi="Times New Roman" w:cs="Times New Roman"/>
        </w:rPr>
        <w:t>protective order</w:t>
      </w:r>
      <w:proofErr w:type="gramEnd"/>
      <w:r w:rsidRPr="00441886">
        <w:rPr>
          <w:rFonts w:ascii="Times New Roman" w:hAnsi="Times New Roman" w:cs="Times New Roman"/>
        </w:rPr>
        <w:t xml:space="preserve"> must be filed as soon as the grounds are known. Counsel should be coordinating deposition dates for specific parties/witnesses and have a duty to confer regarding any issues that would be the subject of a motion for protective order prior to scheduling the deposition. The filing of the motion must not be delayed until immediately prior to the scheduled deposition. A motion for protective order does not automatically stay the deposition and the deposition will proceed unless an order granting the motion is entered by the Court.</w:t>
      </w:r>
      <w:r w:rsidRPr="00441886">
        <w:rPr>
          <w:rFonts w:ascii="Times New Roman" w:hAnsi="Times New Roman" w:cs="Times New Roman"/>
          <w:b/>
          <w:bCs/>
          <w:u w:val="single"/>
        </w:rPr>
        <w:t xml:space="preserve"> </w:t>
      </w:r>
    </w:p>
    <w:p w14:paraId="71469A13" w14:textId="77777777" w:rsidR="00441886" w:rsidRPr="00441886" w:rsidRDefault="00441886" w:rsidP="00441886">
      <w:pPr>
        <w:numPr>
          <w:ilvl w:val="0"/>
          <w:numId w:val="1"/>
        </w:numPr>
        <w:rPr>
          <w:rFonts w:ascii="Times New Roman" w:hAnsi="Times New Roman" w:cs="Times New Roman"/>
        </w:rPr>
      </w:pPr>
      <w:r w:rsidRPr="00441886">
        <w:rPr>
          <w:rFonts w:ascii="Times New Roman" w:hAnsi="Times New Roman" w:cs="Times New Roman"/>
          <w:b/>
          <w:bCs/>
          <w:u w:val="single"/>
        </w:rPr>
        <w:t>Motions for Extension</w:t>
      </w:r>
      <w:proofErr w:type="gramStart"/>
      <w:r w:rsidRPr="00441886">
        <w:rPr>
          <w:rFonts w:ascii="Times New Roman" w:hAnsi="Times New Roman" w:cs="Times New Roman"/>
        </w:rPr>
        <w:t>:  Any</w:t>
      </w:r>
      <w:proofErr w:type="gramEnd"/>
      <w:r w:rsidRPr="00441886">
        <w:rPr>
          <w:rFonts w:ascii="Times New Roman" w:hAnsi="Times New Roman" w:cs="Times New Roman"/>
        </w:rPr>
        <w:t xml:space="preserve"> motion to extend a deadline, amend a case management order, or alter a projected trial period must specify: </w:t>
      </w:r>
    </w:p>
    <w:p w14:paraId="3C91B47A" w14:textId="1D721D86" w:rsidR="00441886" w:rsidRPr="00441886" w:rsidRDefault="00441886" w:rsidP="00441886">
      <w:pPr>
        <w:ind w:left="1080"/>
        <w:rPr>
          <w:rFonts w:ascii="Times New Roman" w:hAnsi="Times New Roman" w:cs="Times New Roman"/>
        </w:rPr>
      </w:pPr>
      <w:r w:rsidRPr="00441886">
        <w:rPr>
          <w:rFonts w:ascii="Times New Roman" w:hAnsi="Times New Roman" w:cs="Times New Roman"/>
        </w:rPr>
        <w:t xml:space="preserve">(A) the basis of the need for the extension, including when the basis became known to the </w:t>
      </w:r>
      <w:proofErr w:type="gramStart"/>
      <w:r w:rsidRPr="00441886">
        <w:rPr>
          <w:rFonts w:ascii="Times New Roman" w:hAnsi="Times New Roman" w:cs="Times New Roman"/>
        </w:rPr>
        <w:t>movant;</w:t>
      </w:r>
      <w:proofErr w:type="gramEnd"/>
      <w:r w:rsidRPr="00441886">
        <w:rPr>
          <w:rFonts w:ascii="Times New Roman" w:hAnsi="Times New Roman" w:cs="Times New Roman"/>
        </w:rPr>
        <w:t xml:space="preserve"> </w:t>
      </w:r>
    </w:p>
    <w:p w14:paraId="3CC5839D" w14:textId="77777777" w:rsidR="00441886" w:rsidRPr="00441886" w:rsidRDefault="00441886" w:rsidP="00441886">
      <w:pPr>
        <w:ind w:left="360" w:firstLine="720"/>
        <w:rPr>
          <w:rFonts w:ascii="Times New Roman" w:hAnsi="Times New Roman" w:cs="Times New Roman"/>
        </w:rPr>
      </w:pPr>
      <w:r w:rsidRPr="00441886">
        <w:rPr>
          <w:rFonts w:ascii="Times New Roman" w:hAnsi="Times New Roman" w:cs="Times New Roman"/>
        </w:rPr>
        <w:t xml:space="preserve">(B) whether the motion is </w:t>
      </w:r>
      <w:proofErr w:type="gramStart"/>
      <w:r w:rsidRPr="00441886">
        <w:rPr>
          <w:rFonts w:ascii="Times New Roman" w:hAnsi="Times New Roman" w:cs="Times New Roman"/>
        </w:rPr>
        <w:t>opposed;</w:t>
      </w:r>
      <w:proofErr w:type="gramEnd"/>
      <w:r w:rsidRPr="00441886">
        <w:rPr>
          <w:rFonts w:ascii="Times New Roman" w:hAnsi="Times New Roman" w:cs="Times New Roman"/>
        </w:rPr>
        <w:t xml:space="preserve"> </w:t>
      </w:r>
    </w:p>
    <w:p w14:paraId="0056E8F8" w14:textId="77777777" w:rsidR="00441886" w:rsidRPr="00441886" w:rsidRDefault="00441886" w:rsidP="00441886">
      <w:pPr>
        <w:ind w:left="1080"/>
        <w:rPr>
          <w:rFonts w:ascii="Times New Roman" w:hAnsi="Times New Roman" w:cs="Times New Roman"/>
        </w:rPr>
      </w:pPr>
      <w:r w:rsidRPr="00441886">
        <w:rPr>
          <w:rFonts w:ascii="Times New Roman" w:hAnsi="Times New Roman" w:cs="Times New Roman"/>
        </w:rPr>
        <w:t xml:space="preserve">(C) the specific date to which the movant is requesting the deadline or projected trial period be extended, and whether that date is agreed by all parties; and </w:t>
      </w:r>
    </w:p>
    <w:p w14:paraId="213417C9" w14:textId="77777777" w:rsidR="00441886" w:rsidRPr="00441886" w:rsidRDefault="00441886" w:rsidP="00441886">
      <w:pPr>
        <w:ind w:left="1080"/>
        <w:rPr>
          <w:rFonts w:ascii="Times New Roman" w:hAnsi="Times New Roman" w:cs="Times New Roman"/>
        </w:rPr>
      </w:pPr>
      <w:r w:rsidRPr="00441886">
        <w:rPr>
          <w:rFonts w:ascii="Times New Roman" w:hAnsi="Times New Roman" w:cs="Times New Roman"/>
        </w:rPr>
        <w:lastRenderedPageBreak/>
        <w:t>(D) the action and specific dates for the action that will enable the movant to meet the proposed new deadline or projected trial period, including, but not limited to, confirming the specific date any required participants such as third-party witnesses or experts are available.</w:t>
      </w:r>
    </w:p>
    <w:p w14:paraId="66813B82" w14:textId="77777777" w:rsidR="00441886" w:rsidRPr="00441886" w:rsidRDefault="00441886" w:rsidP="00441886">
      <w:pPr>
        <w:rPr>
          <w:rFonts w:ascii="Times New Roman" w:hAnsi="Times New Roman" w:cs="Times New Roman"/>
          <w:u w:val="single"/>
        </w:rPr>
      </w:pPr>
      <w:r w:rsidRPr="00441886">
        <w:rPr>
          <w:rFonts w:ascii="Times New Roman" w:hAnsi="Times New Roman" w:cs="Times New Roman"/>
          <w:u w:val="single"/>
        </w:rPr>
        <w:t>If extending an individual case management deadline may affect a subsequent deadline in the case management order, parties must seek an amendment of the case management order, rather than submitting a motion for extension of an individual deadline.</w:t>
      </w:r>
    </w:p>
    <w:p w14:paraId="06D4C904" w14:textId="77777777" w:rsidR="00441886" w:rsidRPr="00441886" w:rsidRDefault="00441886" w:rsidP="00441886">
      <w:pPr>
        <w:rPr>
          <w:rFonts w:ascii="Times New Roman" w:hAnsi="Times New Roman" w:cs="Times New Roman"/>
        </w:rPr>
      </w:pPr>
      <w:r w:rsidRPr="00441886">
        <w:rPr>
          <w:rFonts w:ascii="Times New Roman" w:hAnsi="Times New Roman" w:cs="Times New Roman"/>
        </w:rPr>
        <w:t xml:space="preserve">The Court may rule upon submission of a motion for extension of time without </w:t>
      </w:r>
      <w:proofErr w:type="gramStart"/>
      <w:r w:rsidRPr="00441886">
        <w:rPr>
          <w:rFonts w:ascii="Times New Roman" w:hAnsi="Times New Roman" w:cs="Times New Roman"/>
        </w:rPr>
        <w:t>a hearing</w:t>
      </w:r>
      <w:proofErr w:type="gramEnd"/>
      <w:r w:rsidRPr="00441886">
        <w:rPr>
          <w:rFonts w:ascii="Times New Roman" w:hAnsi="Times New Roman" w:cs="Times New Roman"/>
        </w:rPr>
        <w:t xml:space="preserve">. Any motion for extension of time must be preceded by a </w:t>
      </w:r>
      <w:proofErr w:type="gramStart"/>
      <w:r w:rsidRPr="00441886">
        <w:rPr>
          <w:rFonts w:ascii="Times New Roman" w:hAnsi="Times New Roman" w:cs="Times New Roman"/>
        </w:rPr>
        <w:t>meet</w:t>
      </w:r>
      <w:proofErr w:type="gramEnd"/>
      <w:r w:rsidRPr="00441886">
        <w:rPr>
          <w:rFonts w:ascii="Times New Roman" w:hAnsi="Times New Roman" w:cs="Times New Roman"/>
        </w:rPr>
        <w:t xml:space="preserve"> and </w:t>
      </w:r>
      <w:proofErr w:type="gramStart"/>
      <w:r w:rsidRPr="00441886">
        <w:rPr>
          <w:rFonts w:ascii="Times New Roman" w:hAnsi="Times New Roman" w:cs="Times New Roman"/>
        </w:rPr>
        <w:t>confer</w:t>
      </w:r>
      <w:proofErr w:type="gramEnd"/>
      <w:r w:rsidRPr="00441886">
        <w:rPr>
          <w:rFonts w:ascii="Times New Roman" w:hAnsi="Times New Roman" w:cs="Times New Roman"/>
        </w:rPr>
        <w:t xml:space="preserve"> with opposing counsel and absent agreement, </w:t>
      </w:r>
      <w:proofErr w:type="gramStart"/>
      <w:r w:rsidRPr="00441886">
        <w:rPr>
          <w:rFonts w:ascii="Times New Roman" w:hAnsi="Times New Roman" w:cs="Times New Roman"/>
        </w:rPr>
        <w:t>be set</w:t>
      </w:r>
      <w:proofErr w:type="gramEnd"/>
      <w:r w:rsidRPr="00441886">
        <w:rPr>
          <w:rFonts w:ascii="Times New Roman" w:hAnsi="Times New Roman" w:cs="Times New Roman"/>
        </w:rPr>
        <w:t xml:space="preserve"> for hearing immediately upon filing. Counsel should be prepared to respond promptly in the event the motion is denied</w:t>
      </w:r>
    </w:p>
    <w:p w14:paraId="2C304950" w14:textId="77777777" w:rsidR="00441886" w:rsidRPr="00441886" w:rsidRDefault="00441886" w:rsidP="00441886">
      <w:pPr>
        <w:numPr>
          <w:ilvl w:val="0"/>
          <w:numId w:val="1"/>
        </w:numPr>
        <w:rPr>
          <w:rFonts w:ascii="Times New Roman" w:hAnsi="Times New Roman" w:cs="Times New Roman"/>
        </w:rPr>
      </w:pPr>
      <w:r w:rsidRPr="00441886">
        <w:rPr>
          <w:rFonts w:ascii="Times New Roman" w:hAnsi="Times New Roman" w:cs="Times New Roman"/>
          <w:b/>
          <w:bCs/>
          <w:u w:val="single"/>
        </w:rPr>
        <w:t>Dispositive Motions</w:t>
      </w:r>
      <w:proofErr w:type="gramStart"/>
      <w:r w:rsidRPr="00441886">
        <w:rPr>
          <w:rFonts w:ascii="Times New Roman" w:hAnsi="Times New Roman" w:cs="Times New Roman"/>
        </w:rPr>
        <w:t>: :</w:t>
      </w:r>
      <w:proofErr w:type="gramEnd"/>
      <w:r w:rsidRPr="00441886">
        <w:rPr>
          <w:rFonts w:ascii="Times New Roman" w:hAnsi="Times New Roman" w:cs="Times New Roman"/>
        </w:rPr>
        <w:t xml:space="preserve"> Motions which may dispose of specific issues, portions of the case or the entire case should be filed and set within the time set forth in the case management order. Parties wishing to pursue a dispositive motion should target the essential discovery promptly.</w:t>
      </w:r>
      <w:r w:rsidRPr="00441886">
        <w:rPr>
          <w:rFonts w:ascii="Times New Roman" w:hAnsi="Times New Roman" w:cs="Times New Roman"/>
          <w:b/>
          <w:bCs/>
          <w:u w:val="single"/>
        </w:rPr>
        <w:t xml:space="preserve"> </w:t>
      </w:r>
    </w:p>
    <w:p w14:paraId="53795801" w14:textId="77777777" w:rsidR="00441886" w:rsidRPr="00441886" w:rsidRDefault="00441886" w:rsidP="00441886">
      <w:pPr>
        <w:numPr>
          <w:ilvl w:val="0"/>
          <w:numId w:val="1"/>
        </w:numPr>
        <w:rPr>
          <w:rFonts w:ascii="Times New Roman" w:hAnsi="Times New Roman" w:cs="Times New Roman"/>
        </w:rPr>
      </w:pPr>
      <w:r w:rsidRPr="00441886">
        <w:rPr>
          <w:rFonts w:ascii="Times New Roman" w:hAnsi="Times New Roman" w:cs="Times New Roman"/>
          <w:b/>
          <w:bCs/>
          <w:u w:val="single"/>
        </w:rPr>
        <w:t>Amendment of Pleadings</w:t>
      </w:r>
      <w:r w:rsidRPr="00441886">
        <w:rPr>
          <w:rFonts w:ascii="Times New Roman" w:hAnsi="Times New Roman" w:cs="Times New Roman"/>
        </w:rPr>
        <w:t xml:space="preserve">: Motions to amend should be filed so as not to affect the date of trial.  Although the Court recognizes the rule of liberality </w:t>
      </w:r>
      <w:proofErr w:type="gramStart"/>
      <w:r w:rsidRPr="00441886">
        <w:rPr>
          <w:rFonts w:ascii="Times New Roman" w:hAnsi="Times New Roman" w:cs="Times New Roman"/>
        </w:rPr>
        <w:t>with regard to</w:t>
      </w:r>
      <w:proofErr w:type="gramEnd"/>
      <w:r w:rsidRPr="00441886">
        <w:rPr>
          <w:rFonts w:ascii="Times New Roman" w:hAnsi="Times New Roman" w:cs="Times New Roman"/>
        </w:rPr>
        <w:t xml:space="preserve"> amendment of pleadings, liberality declines with an approaching trial date unless the amendment involves newly discovered information not previously available. Review your pleadings for necessary amendment(s) early, not as part of last-minute trial preparation.</w:t>
      </w:r>
    </w:p>
    <w:p w14:paraId="71320550" w14:textId="77777777" w:rsidR="00441886" w:rsidRPr="00441886" w:rsidRDefault="00441886" w:rsidP="00441886">
      <w:pPr>
        <w:jc w:val="center"/>
        <w:rPr>
          <w:rFonts w:ascii="Times New Roman" w:hAnsi="Times New Roman" w:cs="Times New Roman"/>
          <w:b/>
          <w:bCs/>
          <w:u w:val="single"/>
        </w:rPr>
      </w:pPr>
      <w:r w:rsidRPr="00441886">
        <w:rPr>
          <w:rFonts w:ascii="Times New Roman" w:hAnsi="Times New Roman" w:cs="Times New Roman"/>
          <w:b/>
          <w:bCs/>
          <w:u w:val="single"/>
        </w:rPr>
        <w:t>Discovery</w:t>
      </w:r>
    </w:p>
    <w:p w14:paraId="2702BDEF" w14:textId="77777777" w:rsidR="00441886" w:rsidRPr="00441886" w:rsidRDefault="00441886" w:rsidP="00441886">
      <w:pPr>
        <w:numPr>
          <w:ilvl w:val="0"/>
          <w:numId w:val="1"/>
        </w:numPr>
        <w:rPr>
          <w:rFonts w:ascii="Times New Roman" w:hAnsi="Times New Roman" w:cs="Times New Roman"/>
        </w:rPr>
      </w:pPr>
      <w:r w:rsidRPr="00441886">
        <w:rPr>
          <w:rFonts w:ascii="Times New Roman" w:hAnsi="Times New Roman" w:cs="Times New Roman"/>
          <w:b/>
          <w:bCs/>
          <w:u w:val="single"/>
        </w:rPr>
        <w:t xml:space="preserve">Initial Discovery Disclosure: </w:t>
      </w:r>
      <w:r w:rsidRPr="00441886">
        <w:rPr>
          <w:rFonts w:ascii="Times New Roman" w:hAnsi="Times New Roman" w:cs="Times New Roman"/>
        </w:rPr>
        <w:t xml:space="preserve">Except as exempted by Florida Rules of Civil Procedure 1.280(a)(2) or as otherwise ordered by the Court, a party must, without awaiting a discovery request, within 60 days after the service of the complaint provide to the other parties the following initial discovery disclosures unless privileged or protected from disclosure: </w:t>
      </w:r>
    </w:p>
    <w:p w14:paraId="2F3D34A5" w14:textId="77777777" w:rsidR="00441886" w:rsidRPr="00441886" w:rsidRDefault="00441886" w:rsidP="00A44573">
      <w:pPr>
        <w:ind w:left="1080"/>
        <w:rPr>
          <w:rFonts w:ascii="Times New Roman" w:hAnsi="Times New Roman" w:cs="Times New Roman"/>
        </w:rPr>
      </w:pPr>
      <w:r w:rsidRPr="00441886">
        <w:rPr>
          <w:rFonts w:ascii="Times New Roman" w:hAnsi="Times New Roman" w:cs="Times New Roman"/>
        </w:rPr>
        <w:t xml:space="preserve">(A) the name and, if known, the address, telephone number, and e-mail address of each individual likely to have discoverable information—along with the subjects of that information—that the disclosing party may use to support its claims or defenses, unless the use would be solely for </w:t>
      </w:r>
      <w:proofErr w:type="gramStart"/>
      <w:r w:rsidRPr="00441886">
        <w:rPr>
          <w:rFonts w:ascii="Times New Roman" w:hAnsi="Times New Roman" w:cs="Times New Roman"/>
        </w:rPr>
        <w:t>impeachment;</w:t>
      </w:r>
      <w:proofErr w:type="gramEnd"/>
      <w:r w:rsidRPr="00441886">
        <w:rPr>
          <w:rFonts w:ascii="Times New Roman" w:hAnsi="Times New Roman" w:cs="Times New Roman"/>
        </w:rPr>
        <w:t xml:space="preserve"> </w:t>
      </w:r>
    </w:p>
    <w:p w14:paraId="5A1967F8" w14:textId="77777777" w:rsidR="00441886" w:rsidRPr="00441886" w:rsidRDefault="00441886" w:rsidP="00A44573">
      <w:pPr>
        <w:ind w:left="1080"/>
        <w:rPr>
          <w:rFonts w:ascii="Times New Roman" w:hAnsi="Times New Roman" w:cs="Times New Roman"/>
        </w:rPr>
      </w:pPr>
      <w:r w:rsidRPr="00441886">
        <w:rPr>
          <w:rFonts w:ascii="Times New Roman" w:hAnsi="Times New Roman" w:cs="Times New Roman"/>
        </w:rPr>
        <w:t xml:space="preserve">(B) a copy—or a description by category and location—of all documents, electronically stored information, and tangible things that the disclosing party has in its possession, custody, or control (or, if not in the disclosing party’s possession, custody, or control, a description by category and location of such information) and may use to support its claims or defenses, unless the use would be solely for impeachment; </w:t>
      </w:r>
    </w:p>
    <w:p w14:paraId="1BB6809E" w14:textId="77777777" w:rsidR="00441886" w:rsidRPr="00441886" w:rsidRDefault="00441886" w:rsidP="00A44573">
      <w:pPr>
        <w:ind w:left="1080"/>
        <w:rPr>
          <w:rFonts w:ascii="Times New Roman" w:hAnsi="Times New Roman" w:cs="Times New Roman"/>
        </w:rPr>
      </w:pPr>
      <w:r w:rsidRPr="00441886">
        <w:rPr>
          <w:rFonts w:ascii="Times New Roman" w:hAnsi="Times New Roman" w:cs="Times New Roman"/>
        </w:rPr>
        <w:lastRenderedPageBreak/>
        <w:t>(C) a computation for each category of damages claimed by the disclosing party and a copy of the documents or other evidentiary material, unless privileged or protected from disclosure, on which each computation is based, including materials bearing on the nature and extent of injuries suffered; provided that a party is not required to provide computations as to noneconomic damages, but the party must identify categories of damages claimed and provide supporting documents; and</w:t>
      </w:r>
    </w:p>
    <w:p w14:paraId="4370F9FA" w14:textId="77777777" w:rsidR="00441886" w:rsidRPr="00441886" w:rsidRDefault="00441886" w:rsidP="00A44573">
      <w:pPr>
        <w:ind w:left="1080"/>
        <w:rPr>
          <w:rFonts w:ascii="Times New Roman" w:hAnsi="Times New Roman" w:cs="Times New Roman"/>
        </w:rPr>
      </w:pPr>
      <w:r w:rsidRPr="00441886">
        <w:rPr>
          <w:rFonts w:ascii="Times New Roman" w:hAnsi="Times New Roman" w:cs="Times New Roman"/>
        </w:rPr>
        <w:t>D) a copy of any insurance policy or agreement under which an insurance business may be liable to satisfy all or part of a possible judgment in the action or to indemnify or reimburse for payments made to satisfy the judgment.</w:t>
      </w:r>
    </w:p>
    <w:p w14:paraId="6032B7B9" w14:textId="77777777" w:rsidR="00441886" w:rsidRPr="00441886" w:rsidRDefault="00441886" w:rsidP="00441886">
      <w:pPr>
        <w:ind w:left="360"/>
        <w:rPr>
          <w:rFonts w:ascii="Times New Roman" w:hAnsi="Times New Roman" w:cs="Times New Roman"/>
        </w:rPr>
      </w:pPr>
      <w:r w:rsidRPr="00441886">
        <w:rPr>
          <w:rFonts w:ascii="Times New Roman" w:hAnsi="Times New Roman" w:cs="Times New Roman"/>
        </w:rPr>
        <w:t>If a party fails to make a disclosure required by Rule 1.280(a), any other party may move to compel disclosure and for appropriate sanctions.</w:t>
      </w:r>
    </w:p>
    <w:p w14:paraId="14BF0E20" w14:textId="77777777" w:rsidR="00441886" w:rsidRPr="00441886" w:rsidRDefault="00441886" w:rsidP="00441886">
      <w:pPr>
        <w:numPr>
          <w:ilvl w:val="0"/>
          <w:numId w:val="1"/>
        </w:numPr>
        <w:rPr>
          <w:rFonts w:ascii="Times New Roman" w:hAnsi="Times New Roman" w:cs="Times New Roman"/>
          <w:b/>
          <w:bCs/>
          <w:u w:val="single"/>
        </w:rPr>
      </w:pPr>
      <w:r w:rsidRPr="00441886">
        <w:rPr>
          <w:rFonts w:ascii="Times New Roman" w:hAnsi="Times New Roman" w:cs="Times New Roman"/>
          <w:b/>
          <w:bCs/>
          <w:u w:val="single"/>
        </w:rPr>
        <w:t>Written Discovery must be propounded promptly:</w:t>
      </w:r>
    </w:p>
    <w:p w14:paraId="008D93E8" w14:textId="77777777" w:rsidR="00441886" w:rsidRPr="00441886" w:rsidRDefault="00441886" w:rsidP="00441886">
      <w:pPr>
        <w:numPr>
          <w:ilvl w:val="0"/>
          <w:numId w:val="2"/>
        </w:numPr>
        <w:tabs>
          <w:tab w:val="num" w:pos="720"/>
        </w:tabs>
        <w:rPr>
          <w:rFonts w:ascii="Times New Roman" w:hAnsi="Times New Roman" w:cs="Times New Roman"/>
        </w:rPr>
      </w:pPr>
      <w:r w:rsidRPr="00441886">
        <w:rPr>
          <w:rFonts w:ascii="Times New Roman" w:hAnsi="Times New Roman" w:cs="Times New Roman"/>
          <w:b/>
          <w:bCs/>
          <w:u w:val="single"/>
        </w:rPr>
        <w:t>Scope of Discovery:</w:t>
      </w:r>
      <w:r w:rsidRPr="00441886">
        <w:rPr>
          <w:rFonts w:ascii="Times New Roman" w:hAnsi="Times New Roman" w:cs="Times New Roman"/>
        </w:rPr>
        <w:t xml:space="preserve"> Parties may obtain discovery in accordance with Florida Rules of Civil Procedure 1.280(c)(1).</w:t>
      </w:r>
    </w:p>
    <w:p w14:paraId="526FDA30" w14:textId="445576C4" w:rsidR="00441886" w:rsidRPr="00441886" w:rsidRDefault="00441886" w:rsidP="00441886">
      <w:pPr>
        <w:numPr>
          <w:ilvl w:val="0"/>
          <w:numId w:val="2"/>
        </w:numPr>
        <w:tabs>
          <w:tab w:val="num" w:pos="720"/>
        </w:tabs>
        <w:rPr>
          <w:rFonts w:ascii="Times New Roman" w:hAnsi="Times New Roman" w:cs="Times New Roman"/>
        </w:rPr>
      </w:pPr>
      <w:r w:rsidRPr="00441886">
        <w:rPr>
          <w:rFonts w:ascii="Times New Roman" w:hAnsi="Times New Roman" w:cs="Times New Roman"/>
          <w:b/>
          <w:bCs/>
          <w:u w:val="single"/>
        </w:rPr>
        <w:t>Objections</w:t>
      </w:r>
      <w:r w:rsidR="00A44573" w:rsidRPr="00441886">
        <w:rPr>
          <w:rFonts w:ascii="Times New Roman" w:hAnsi="Times New Roman" w:cs="Times New Roman"/>
        </w:rPr>
        <w:t>: If</w:t>
      </w:r>
      <w:r w:rsidRPr="00441886">
        <w:rPr>
          <w:rFonts w:ascii="Times New Roman" w:hAnsi="Times New Roman" w:cs="Times New Roman"/>
        </w:rPr>
        <w:t xml:space="preserve"> objections to written discovery involve the phrasing of the request or time frame of any discovery request, these objections may not be extended (even if the parties agree) and are due at the time the initial response is due.  Failure to timely make these objections, constitutes a waiver.  Parties shall comply with the “Duty to Communicate” above, prior to setting timely made objections for hearing.</w:t>
      </w:r>
    </w:p>
    <w:p w14:paraId="2812320A" w14:textId="07DEE97D" w:rsidR="00441886" w:rsidRPr="00441886" w:rsidRDefault="00441886" w:rsidP="00441886">
      <w:pPr>
        <w:numPr>
          <w:ilvl w:val="0"/>
          <w:numId w:val="2"/>
        </w:numPr>
        <w:tabs>
          <w:tab w:val="num" w:pos="720"/>
        </w:tabs>
        <w:rPr>
          <w:rFonts w:ascii="Times New Roman" w:hAnsi="Times New Roman" w:cs="Times New Roman"/>
        </w:rPr>
      </w:pPr>
      <w:r w:rsidRPr="00441886">
        <w:rPr>
          <w:rFonts w:ascii="Times New Roman" w:hAnsi="Times New Roman" w:cs="Times New Roman"/>
          <w:b/>
          <w:bCs/>
          <w:u w:val="single"/>
        </w:rPr>
        <w:t>Documents made available for inspection and copying</w:t>
      </w:r>
      <w:r w:rsidR="00A44573" w:rsidRPr="00441886">
        <w:rPr>
          <w:rFonts w:ascii="Times New Roman" w:hAnsi="Times New Roman" w:cs="Times New Roman"/>
        </w:rPr>
        <w:t>: If</w:t>
      </w:r>
      <w:r w:rsidRPr="00441886">
        <w:rPr>
          <w:rFonts w:ascii="Times New Roman" w:hAnsi="Times New Roman" w:cs="Times New Roman"/>
        </w:rPr>
        <w:t xml:space="preserve"> discovery responses provide that the documents are available for inspection and copying at a mutually convenient time and place, the responding party shall immediately (within 48 hours) provide three alternative dates and times that the documents are available for inspection and copying.  All of the dates shall be within ten (10) days.  Failure to provide the dates and times shall constitute a failure to respond to discovery.  Review shall occur within fifteen (15) days of the response, absent extraordinary circumstances. Examples of “extraordinary circumstances” include a sole practitioner in trial on another case, a medical emergency, prepaid vacation, and a death in the family.</w:t>
      </w:r>
    </w:p>
    <w:p w14:paraId="5D167D54" w14:textId="77777777" w:rsidR="00441886" w:rsidRPr="00441886" w:rsidRDefault="00441886" w:rsidP="00441886">
      <w:pPr>
        <w:numPr>
          <w:ilvl w:val="0"/>
          <w:numId w:val="2"/>
        </w:numPr>
        <w:tabs>
          <w:tab w:val="num" w:pos="720"/>
        </w:tabs>
        <w:rPr>
          <w:rFonts w:ascii="Times New Roman" w:hAnsi="Times New Roman" w:cs="Times New Roman"/>
        </w:rPr>
      </w:pPr>
      <w:r w:rsidRPr="00441886">
        <w:rPr>
          <w:rFonts w:ascii="Times New Roman" w:hAnsi="Times New Roman" w:cs="Times New Roman"/>
          <w:b/>
          <w:bCs/>
          <w:u w:val="single"/>
        </w:rPr>
        <w:t>Privilege Logs</w:t>
      </w:r>
      <w:r w:rsidRPr="00441886">
        <w:rPr>
          <w:rFonts w:ascii="Times New Roman" w:hAnsi="Times New Roman" w:cs="Times New Roman"/>
        </w:rPr>
        <w:t xml:space="preserve"> Privilege logs are due at the time of the response and may not be reserved to be provided later. Privilege logs must specifically identify the document in accordance with Florida Rules of Civil Procedure 1.280(c)(6). </w:t>
      </w:r>
    </w:p>
    <w:p w14:paraId="42D2D53C" w14:textId="77777777" w:rsidR="00441886" w:rsidRPr="00441886" w:rsidRDefault="00441886" w:rsidP="00441886">
      <w:pPr>
        <w:ind w:left="1080"/>
        <w:rPr>
          <w:rFonts w:ascii="Times New Roman" w:hAnsi="Times New Roman" w:cs="Times New Roman"/>
        </w:rPr>
      </w:pPr>
      <w:r w:rsidRPr="00441886">
        <w:rPr>
          <w:rFonts w:ascii="Times New Roman" w:hAnsi="Times New Roman" w:cs="Times New Roman"/>
        </w:rPr>
        <w:t xml:space="preserve">Failure to timely provide the privilege log may result in the waiver of the privilege. This procedure requires preparation of a privilege log with respect to all documents, electronically stored information, things and oral communications withheld on the basis of a claim of privilege or work product except the following: written and oral </w:t>
      </w:r>
      <w:r w:rsidRPr="00441886">
        <w:rPr>
          <w:rFonts w:ascii="Times New Roman" w:hAnsi="Times New Roman" w:cs="Times New Roman"/>
        </w:rPr>
        <w:lastRenderedPageBreak/>
        <w:t>communications between a party and their counsel after commencement of the action and work product material created after commencement of the action.</w:t>
      </w:r>
    </w:p>
    <w:p w14:paraId="2D4B30D8" w14:textId="79DAEB7D" w:rsidR="00441886" w:rsidRPr="00441886" w:rsidRDefault="00441886" w:rsidP="00441886">
      <w:pPr>
        <w:ind w:left="1080"/>
        <w:rPr>
          <w:rFonts w:ascii="Times New Roman" w:hAnsi="Times New Roman" w:cs="Times New Roman"/>
        </w:rPr>
      </w:pPr>
      <w:r w:rsidRPr="00441886">
        <w:rPr>
          <w:rFonts w:ascii="Times New Roman" w:hAnsi="Times New Roman" w:cs="Times New Roman"/>
        </w:rPr>
        <w:t xml:space="preserve">Parties are instructed that where they believe that the divulgence of the logging information would necessarily cause disclosure of the allegedly privileged information, they must identify that the item exists and that in camera review by the Court will be sought. The item may be described generically. However, if the Court determines that there is nothing inherent in the divulgence of the existence of the document or the logging information required that would violate privilege, the Court will impose sanctions for any in camera request determined to be frivolous. In </w:t>
      </w:r>
      <w:r w:rsidRPr="00441886">
        <w:rPr>
          <w:rFonts w:ascii="Times New Roman" w:hAnsi="Times New Roman" w:cs="Times New Roman"/>
          <w:i/>
          <w:iCs/>
        </w:rPr>
        <w:t>camera</w:t>
      </w:r>
      <w:r w:rsidRPr="00441886">
        <w:rPr>
          <w:rFonts w:ascii="Times New Roman" w:hAnsi="Times New Roman" w:cs="Times New Roman"/>
        </w:rPr>
        <w:t xml:space="preserve"> requests by the party claiming the privilege must be signed by both the requesting attorney and the client, so as to assure that all are aware of the request and the consequences.</w:t>
      </w:r>
    </w:p>
    <w:p w14:paraId="389DA456" w14:textId="049F3E15" w:rsidR="00441886" w:rsidRPr="00441886" w:rsidRDefault="00441886" w:rsidP="00441886">
      <w:pPr>
        <w:numPr>
          <w:ilvl w:val="0"/>
          <w:numId w:val="2"/>
        </w:numPr>
        <w:tabs>
          <w:tab w:val="num" w:pos="720"/>
        </w:tabs>
        <w:rPr>
          <w:rFonts w:ascii="Times New Roman" w:hAnsi="Times New Roman" w:cs="Times New Roman"/>
        </w:rPr>
      </w:pPr>
      <w:r w:rsidRPr="00441886">
        <w:rPr>
          <w:rFonts w:ascii="Times New Roman" w:hAnsi="Times New Roman" w:cs="Times New Roman"/>
          <w:b/>
          <w:bCs/>
          <w:u w:val="single"/>
        </w:rPr>
        <w:t>Expert Disclosure</w:t>
      </w:r>
      <w:r w:rsidR="00A44573" w:rsidRPr="00441886">
        <w:rPr>
          <w:rFonts w:ascii="Times New Roman" w:hAnsi="Times New Roman" w:cs="Times New Roman"/>
        </w:rPr>
        <w:t>: Parties</w:t>
      </w:r>
      <w:r w:rsidRPr="00441886">
        <w:rPr>
          <w:rFonts w:ascii="Times New Roman" w:hAnsi="Times New Roman" w:cs="Times New Roman"/>
        </w:rPr>
        <w:t xml:space="preserve"> should furnish opposing counsel with the names and addresses of all expert witnesses under Rule 1.390(a) to be called at trial and all information regarding expert testimony that is required by Rule 1.280(b)(5). Each party is limited to one expert per specialty. No other expert testimony should be permitted at trial. Information furnished pursuant to this paragraph should be timely filed.</w:t>
      </w:r>
    </w:p>
    <w:p w14:paraId="12B6573A" w14:textId="77777777" w:rsidR="00441886" w:rsidRPr="00441886" w:rsidRDefault="00441886" w:rsidP="00441886">
      <w:pPr>
        <w:numPr>
          <w:ilvl w:val="0"/>
          <w:numId w:val="1"/>
        </w:numPr>
        <w:rPr>
          <w:rFonts w:ascii="Times New Roman" w:hAnsi="Times New Roman" w:cs="Times New Roman"/>
        </w:rPr>
      </w:pPr>
      <w:r w:rsidRPr="00441886">
        <w:rPr>
          <w:rFonts w:ascii="Times New Roman" w:hAnsi="Times New Roman" w:cs="Times New Roman"/>
          <w:b/>
          <w:bCs/>
          <w:u w:val="single"/>
        </w:rPr>
        <w:t>Depositions</w:t>
      </w:r>
      <w:r w:rsidRPr="00441886">
        <w:rPr>
          <w:rFonts w:ascii="Times New Roman" w:hAnsi="Times New Roman" w:cs="Times New Roman"/>
        </w:rPr>
        <w:t>: The parties are ordered to block time now for necessary depositions to be set in this case Expert deposition time should be coordinated and blocked as soon as experts are known to ensure compliance with this schedule.  Depositions may commence at any time.   Refer to paragraph 4 above regarding motions for protective order.</w:t>
      </w:r>
    </w:p>
    <w:p w14:paraId="783D19B1" w14:textId="77777777" w:rsidR="00441886" w:rsidRPr="00441886" w:rsidRDefault="00441886" w:rsidP="00441886">
      <w:pPr>
        <w:numPr>
          <w:ilvl w:val="0"/>
          <w:numId w:val="1"/>
        </w:numPr>
        <w:rPr>
          <w:rFonts w:ascii="Times New Roman" w:hAnsi="Times New Roman" w:cs="Times New Roman"/>
        </w:rPr>
      </w:pPr>
      <w:r w:rsidRPr="00441886">
        <w:rPr>
          <w:rFonts w:ascii="Times New Roman" w:hAnsi="Times New Roman" w:cs="Times New Roman"/>
          <w:b/>
          <w:bCs/>
          <w:u w:val="single"/>
        </w:rPr>
        <w:t>Duty to Supplement and Correct:</w:t>
      </w:r>
      <w:r w:rsidRPr="00441886">
        <w:rPr>
          <w:rFonts w:ascii="Times New Roman" w:hAnsi="Times New Roman" w:cs="Times New Roman"/>
        </w:rPr>
        <w:t xml:space="preserve"> A party who has made a disclosure or who has responded to an interrogatory, a request for production, or a request for admission must supplement or correct its disclosure or response in a timely manner if the party learns that in some material respect the disclosure or response is incomplete or incorrect, and if the additional or corrective information has not otherwise been made known to the other parties during the discovery process or in writing.</w:t>
      </w:r>
    </w:p>
    <w:p w14:paraId="5B0FA265" w14:textId="77777777" w:rsidR="00441886" w:rsidRPr="00441886" w:rsidRDefault="00441886" w:rsidP="00441886">
      <w:pPr>
        <w:jc w:val="center"/>
        <w:rPr>
          <w:rFonts w:ascii="Times New Roman" w:hAnsi="Times New Roman" w:cs="Times New Roman"/>
        </w:rPr>
      </w:pPr>
      <w:r w:rsidRPr="00441886">
        <w:rPr>
          <w:rFonts w:ascii="Times New Roman" w:hAnsi="Times New Roman" w:cs="Times New Roman"/>
          <w:b/>
          <w:bCs/>
          <w:u w:val="single"/>
        </w:rPr>
        <w:t>Witness and Exhibits Lists</w:t>
      </w:r>
    </w:p>
    <w:p w14:paraId="01D5E9B7" w14:textId="77777777" w:rsidR="00441886" w:rsidRPr="00441886" w:rsidRDefault="00441886" w:rsidP="00441886">
      <w:pPr>
        <w:numPr>
          <w:ilvl w:val="0"/>
          <w:numId w:val="1"/>
        </w:numPr>
        <w:rPr>
          <w:rFonts w:ascii="Times New Roman" w:hAnsi="Times New Roman" w:cs="Times New Roman"/>
        </w:rPr>
      </w:pPr>
      <w:r w:rsidRPr="00441886">
        <w:rPr>
          <w:rFonts w:ascii="Times New Roman" w:hAnsi="Times New Roman" w:cs="Times New Roman"/>
          <w:b/>
          <w:bCs/>
          <w:u w:val="single"/>
        </w:rPr>
        <w:t>Witness and Exhibit Lists</w:t>
      </w:r>
      <w:r w:rsidRPr="00441886">
        <w:rPr>
          <w:rFonts w:ascii="Times New Roman" w:hAnsi="Times New Roman" w:cs="Times New Roman"/>
        </w:rPr>
        <w:t>: The parties shall timely exchange their witness and exhibit lists.  The lists shall include complete proper names and addresses.  If counsel chooses to list their bar address as the witness’ address, counsel is deemed to have agreed to produce the witness voluntarily as they have withheld the information necessary for a witness subpoena, and counsel will be responsible for assuring that witness’ presence at trial.</w:t>
      </w:r>
    </w:p>
    <w:p w14:paraId="3DF31F30" w14:textId="77777777" w:rsidR="00A44573" w:rsidRDefault="00A44573" w:rsidP="00441886">
      <w:pPr>
        <w:jc w:val="center"/>
        <w:rPr>
          <w:rFonts w:ascii="Times New Roman" w:hAnsi="Times New Roman" w:cs="Times New Roman"/>
          <w:b/>
          <w:bCs/>
          <w:u w:val="single"/>
        </w:rPr>
      </w:pPr>
    </w:p>
    <w:p w14:paraId="2D495128" w14:textId="77777777" w:rsidR="00A44573" w:rsidRDefault="00A44573" w:rsidP="00441886">
      <w:pPr>
        <w:jc w:val="center"/>
        <w:rPr>
          <w:rFonts w:ascii="Times New Roman" w:hAnsi="Times New Roman" w:cs="Times New Roman"/>
          <w:b/>
          <w:bCs/>
          <w:u w:val="single"/>
        </w:rPr>
      </w:pPr>
    </w:p>
    <w:p w14:paraId="0673CFF9" w14:textId="33004AFB" w:rsidR="00441886" w:rsidRPr="00441886" w:rsidRDefault="00441886" w:rsidP="00441886">
      <w:pPr>
        <w:jc w:val="center"/>
        <w:rPr>
          <w:rFonts w:ascii="Times New Roman" w:hAnsi="Times New Roman" w:cs="Times New Roman"/>
        </w:rPr>
      </w:pPr>
      <w:r w:rsidRPr="00441886">
        <w:rPr>
          <w:rFonts w:ascii="Times New Roman" w:hAnsi="Times New Roman" w:cs="Times New Roman"/>
          <w:b/>
          <w:bCs/>
          <w:u w:val="single"/>
        </w:rPr>
        <w:lastRenderedPageBreak/>
        <w:t>Mediation</w:t>
      </w:r>
    </w:p>
    <w:p w14:paraId="23FE49AB" w14:textId="4E27BB43" w:rsidR="00441886" w:rsidRPr="00441886" w:rsidRDefault="00441886" w:rsidP="00441886">
      <w:pPr>
        <w:numPr>
          <w:ilvl w:val="0"/>
          <w:numId w:val="1"/>
        </w:numPr>
        <w:rPr>
          <w:rFonts w:ascii="Times New Roman" w:hAnsi="Times New Roman" w:cs="Times New Roman"/>
        </w:rPr>
      </w:pPr>
      <w:r w:rsidRPr="00441886">
        <w:rPr>
          <w:rFonts w:ascii="Times New Roman" w:hAnsi="Times New Roman" w:cs="Times New Roman"/>
          <w:b/>
          <w:bCs/>
          <w:u w:val="single"/>
        </w:rPr>
        <w:t>Mediation</w:t>
      </w:r>
      <w:r w:rsidRPr="00441886">
        <w:rPr>
          <w:rFonts w:ascii="Times New Roman" w:hAnsi="Times New Roman" w:cs="Times New Roman"/>
        </w:rPr>
        <w:t>: Parties</w:t>
      </w:r>
      <w:r w:rsidRPr="00441886">
        <w:rPr>
          <w:rFonts w:ascii="Times New Roman" w:hAnsi="Times New Roman" w:cs="Times New Roman"/>
        </w:rPr>
        <w:t xml:space="preserve"> must mediate by the Court’s deadline.  The parties are responsible for assuring that they have all the necessary information to value their position prior to mediation.   If the parties fail to mediate before the mediation deadline, sanctions shall be imposed by the Court.  Failure to timely mediate shall not constitute just cause for a trial continuance.</w:t>
      </w:r>
    </w:p>
    <w:p w14:paraId="6D5CF728" w14:textId="77777777" w:rsidR="00441886" w:rsidRPr="00441886" w:rsidRDefault="00441886" w:rsidP="00441886">
      <w:pPr>
        <w:jc w:val="center"/>
        <w:rPr>
          <w:rFonts w:ascii="Times New Roman" w:hAnsi="Times New Roman" w:cs="Times New Roman"/>
          <w:b/>
          <w:bCs/>
          <w:u w:val="single"/>
        </w:rPr>
      </w:pPr>
      <w:r w:rsidRPr="00441886">
        <w:rPr>
          <w:rFonts w:ascii="Times New Roman" w:hAnsi="Times New Roman" w:cs="Times New Roman"/>
          <w:b/>
          <w:bCs/>
          <w:u w:val="single"/>
        </w:rPr>
        <w:t>Setting Trial</w:t>
      </w:r>
    </w:p>
    <w:p w14:paraId="2282A684" w14:textId="77777777" w:rsidR="00441886" w:rsidRPr="00441886" w:rsidRDefault="00441886" w:rsidP="00441886">
      <w:pPr>
        <w:numPr>
          <w:ilvl w:val="0"/>
          <w:numId w:val="1"/>
        </w:numPr>
        <w:rPr>
          <w:rFonts w:ascii="Times New Roman" w:hAnsi="Times New Roman" w:cs="Times New Roman"/>
        </w:rPr>
      </w:pPr>
      <w:r w:rsidRPr="00441886">
        <w:rPr>
          <w:rFonts w:ascii="Times New Roman" w:hAnsi="Times New Roman" w:cs="Times New Roman"/>
          <w:b/>
          <w:bCs/>
        </w:rPr>
        <w:t xml:space="preserve"> </w:t>
      </w:r>
      <w:r w:rsidRPr="00441886">
        <w:rPr>
          <w:rFonts w:ascii="Times New Roman" w:hAnsi="Times New Roman" w:cs="Times New Roman"/>
          <w:b/>
          <w:bCs/>
          <w:u w:val="single"/>
        </w:rPr>
        <w:t>Trial Order</w:t>
      </w:r>
      <w:r w:rsidRPr="00441886">
        <w:rPr>
          <w:rFonts w:ascii="Times New Roman" w:hAnsi="Times New Roman" w:cs="Times New Roman"/>
          <w:b/>
          <w:bCs/>
        </w:rPr>
        <w:t xml:space="preserve">: </w:t>
      </w:r>
      <w:r w:rsidRPr="00441886">
        <w:rPr>
          <w:rFonts w:ascii="Times New Roman" w:hAnsi="Times New Roman" w:cs="Times New Roman"/>
        </w:rPr>
        <w:t>At least 45 days before the projected trial period set forth in the case management order the Court will issue a trial order fixing the trial period. Should the Court fail to issue a trial order at least 45 days prior to the projected trial period, Plaintiff must notify the Court to schedule a case management conference</w:t>
      </w:r>
    </w:p>
    <w:p w14:paraId="093AE442" w14:textId="77777777" w:rsidR="00441886" w:rsidRPr="00441886" w:rsidRDefault="00441886" w:rsidP="00441886">
      <w:pPr>
        <w:numPr>
          <w:ilvl w:val="0"/>
          <w:numId w:val="1"/>
        </w:numPr>
        <w:rPr>
          <w:rFonts w:ascii="Times New Roman" w:hAnsi="Times New Roman" w:cs="Times New Roman"/>
        </w:rPr>
      </w:pPr>
      <w:r w:rsidRPr="00441886">
        <w:rPr>
          <w:rFonts w:ascii="Times New Roman" w:hAnsi="Times New Roman" w:cs="Times New Roman"/>
          <w:b/>
          <w:bCs/>
          <w:u w:val="single"/>
        </w:rPr>
        <w:t>Motions to Continue Trial:</w:t>
      </w:r>
      <w:r w:rsidRPr="00441886">
        <w:rPr>
          <w:rFonts w:ascii="Times New Roman" w:hAnsi="Times New Roman" w:cs="Times New Roman"/>
        </w:rPr>
        <w:t xml:space="preserve"> Motions to continue trial are disfavored and will rarely be granted, and then only upon good cause shown. Successive continuances are highly disfavored. Lack of due diligence in preparing for trial is not grounds to continue the case. Motions for continuance based on parental leave are governed by Florida Rules of General Practice and Judicial Administration 2.570. A motion to continue trial must be in writing unless made at a trial and, except for good cause shown, must be signed by the named party requesting the continuance.</w:t>
      </w:r>
    </w:p>
    <w:p w14:paraId="33536456" w14:textId="77777777" w:rsidR="00441886" w:rsidRPr="00441886" w:rsidRDefault="00441886" w:rsidP="00441886">
      <w:pPr>
        <w:rPr>
          <w:rFonts w:ascii="Times New Roman" w:hAnsi="Times New Roman" w:cs="Times New Roman"/>
        </w:rPr>
      </w:pPr>
    </w:p>
    <w:p w14:paraId="213CFF1A" w14:textId="77777777" w:rsidR="00441886" w:rsidRPr="00441886" w:rsidRDefault="00441886" w:rsidP="00441886">
      <w:pPr>
        <w:rPr>
          <w:rFonts w:ascii="Times New Roman" w:hAnsi="Times New Roman" w:cs="Times New Roman"/>
        </w:rPr>
      </w:pPr>
    </w:p>
    <w:p w14:paraId="111A5BB8" w14:textId="77777777" w:rsidR="00A44573" w:rsidRDefault="00441886" w:rsidP="00441886">
      <w:pPr>
        <w:rPr>
          <w:rFonts w:ascii="Times New Roman" w:hAnsi="Times New Roman" w:cs="Times New Roman"/>
        </w:rPr>
      </w:pPr>
      <w:r w:rsidRPr="00441886">
        <w:rPr>
          <w:rFonts w:ascii="Times New Roman" w:hAnsi="Times New Roman" w:cs="Times New Roman"/>
          <w:b/>
          <w:bCs/>
        </w:rPr>
        <w:t>DONE AND ORDERED</w:t>
      </w:r>
      <w:r w:rsidRPr="00441886">
        <w:rPr>
          <w:rFonts w:ascii="Times New Roman" w:hAnsi="Times New Roman" w:cs="Times New Roman"/>
        </w:rPr>
        <w:t xml:space="preserve"> in Chambers at Miami-Dade County, Florida on this day </w:t>
      </w:r>
    </w:p>
    <w:p w14:paraId="3C134357" w14:textId="1DE5B9EC" w:rsidR="00441886" w:rsidRPr="00441886" w:rsidRDefault="00441886" w:rsidP="00441886">
      <w:pPr>
        <w:rPr>
          <w:rFonts w:ascii="Times New Roman" w:hAnsi="Times New Roman" w:cs="Times New Roman"/>
        </w:rPr>
      </w:pPr>
      <w:r w:rsidRPr="00441886">
        <w:rPr>
          <w:rFonts w:ascii="Times New Roman" w:hAnsi="Times New Roman" w:cs="Times New Roman"/>
        </w:rPr>
        <w:t>of ____________________</w:t>
      </w:r>
    </w:p>
    <w:p w14:paraId="4A0B319A" w14:textId="77777777" w:rsidR="00441886" w:rsidRPr="00441886" w:rsidRDefault="00441886" w:rsidP="00441886">
      <w:pPr>
        <w:rPr>
          <w:rFonts w:ascii="Times New Roman" w:hAnsi="Times New Roman" w:cs="Times New Roman"/>
        </w:rPr>
      </w:pPr>
    </w:p>
    <w:p w14:paraId="2A7AC859" w14:textId="77777777" w:rsidR="00441886" w:rsidRPr="00441886" w:rsidRDefault="00441886" w:rsidP="00441886">
      <w:pPr>
        <w:rPr>
          <w:rFonts w:ascii="Times New Roman" w:hAnsi="Times New Roman" w:cs="Times New Roman"/>
          <w:u w:val="single"/>
        </w:rPr>
      </w:pPr>
    </w:p>
    <w:p w14:paraId="4364CB49" w14:textId="78DAC61C" w:rsidR="00441886" w:rsidRPr="00441886" w:rsidRDefault="00441886" w:rsidP="00441886">
      <w:pPr>
        <w:ind w:left="5040"/>
        <w:rPr>
          <w:rFonts w:ascii="Times New Roman" w:hAnsi="Times New Roman" w:cs="Times New Roman"/>
          <w:u w:val="single"/>
        </w:rPr>
      </w:pPr>
      <w:r>
        <w:rPr>
          <w:rFonts w:ascii="Times New Roman" w:hAnsi="Times New Roman" w:cs="Times New Roman"/>
          <w:u w:val="single"/>
        </w:rPr>
        <w:t xml:space="preserve"> </w:t>
      </w:r>
      <w:r w:rsidRPr="00441886">
        <w:rPr>
          <w:rFonts w:ascii="Times New Roman" w:hAnsi="Times New Roman" w:cs="Times New Roman"/>
          <w:u w:val="single"/>
        </w:rPr>
        <w:t xml:space="preserve">                                                             </w:t>
      </w:r>
      <w:r w:rsidRPr="00441886">
        <w:rPr>
          <w:rFonts w:ascii="Times New Roman" w:hAnsi="Times New Roman" w:cs="Times New Roman"/>
          <w:color w:val="FFFFFF" w:themeColor="background1"/>
          <w:u w:val="single"/>
        </w:rPr>
        <w:t xml:space="preserve"> .</w:t>
      </w:r>
    </w:p>
    <w:p w14:paraId="0CD777E7" w14:textId="33C3C7F5" w:rsidR="00441886" w:rsidRPr="00441886" w:rsidRDefault="00441886" w:rsidP="00441886">
      <w:pPr>
        <w:rPr>
          <w:rFonts w:ascii="Times New Roman" w:hAnsi="Times New Roman" w:cs="Times New Roman"/>
          <w:b/>
          <w:bCs/>
        </w:rPr>
      </w:pPr>
      <w:r w:rsidRPr="00441886">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Pr="00441886">
        <w:rPr>
          <w:rFonts w:ascii="Times New Roman" w:hAnsi="Times New Roman" w:cs="Times New Roman"/>
          <w:b/>
          <w:bCs/>
        </w:rPr>
        <w:t xml:space="preserve">   CIRCUIT JUDGE</w:t>
      </w:r>
    </w:p>
    <w:p w14:paraId="411F9E3A" w14:textId="77777777" w:rsidR="00441886" w:rsidRPr="00441886" w:rsidRDefault="00441886" w:rsidP="00441886">
      <w:pPr>
        <w:rPr>
          <w:rFonts w:ascii="Times New Roman" w:hAnsi="Times New Roman" w:cs="Times New Roman"/>
        </w:rPr>
      </w:pPr>
    </w:p>
    <w:p w14:paraId="7505F195" w14:textId="77777777" w:rsidR="00441886" w:rsidRPr="00441886" w:rsidRDefault="00441886" w:rsidP="00441886">
      <w:pPr>
        <w:rPr>
          <w:rFonts w:ascii="Times New Roman" w:hAnsi="Times New Roman" w:cs="Times New Roman"/>
        </w:rPr>
      </w:pPr>
    </w:p>
    <w:p w14:paraId="6406C0F9" w14:textId="77777777" w:rsidR="005462C4" w:rsidRPr="00441886" w:rsidRDefault="005462C4">
      <w:pPr>
        <w:rPr>
          <w:rFonts w:ascii="Times New Roman" w:hAnsi="Times New Roman" w:cs="Times New Roman"/>
        </w:rPr>
      </w:pPr>
    </w:p>
    <w:sectPr w:rsidR="005462C4" w:rsidRPr="00441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60BC0"/>
    <w:multiLevelType w:val="multilevel"/>
    <w:tmpl w:val="0BCCF5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279155B"/>
    <w:multiLevelType w:val="multilevel"/>
    <w:tmpl w:val="1072218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num w:numId="1" w16cid:durableId="904148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46003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86"/>
    <w:rsid w:val="0042411F"/>
    <w:rsid w:val="00441886"/>
    <w:rsid w:val="005462C4"/>
    <w:rsid w:val="006D0A53"/>
    <w:rsid w:val="00A44573"/>
    <w:rsid w:val="00BE0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80AA"/>
  <w15:chartTrackingRefBased/>
  <w15:docId w15:val="{6655D0C6-64FB-4E4A-BC8C-62EABEFE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8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8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8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8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8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8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8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8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8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8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8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8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886"/>
    <w:rPr>
      <w:rFonts w:eastAsiaTheme="majorEastAsia" w:cstheme="majorBidi"/>
      <w:color w:val="272727" w:themeColor="text1" w:themeTint="D8"/>
    </w:rPr>
  </w:style>
  <w:style w:type="paragraph" w:styleId="Title">
    <w:name w:val="Title"/>
    <w:basedOn w:val="Normal"/>
    <w:next w:val="Normal"/>
    <w:link w:val="TitleChar"/>
    <w:uiPriority w:val="10"/>
    <w:qFormat/>
    <w:rsid w:val="00441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886"/>
    <w:pPr>
      <w:spacing w:before="160"/>
      <w:jc w:val="center"/>
    </w:pPr>
    <w:rPr>
      <w:i/>
      <w:iCs/>
      <w:color w:val="404040" w:themeColor="text1" w:themeTint="BF"/>
    </w:rPr>
  </w:style>
  <w:style w:type="character" w:customStyle="1" w:styleId="QuoteChar">
    <w:name w:val="Quote Char"/>
    <w:basedOn w:val="DefaultParagraphFont"/>
    <w:link w:val="Quote"/>
    <w:uiPriority w:val="29"/>
    <w:rsid w:val="00441886"/>
    <w:rPr>
      <w:i/>
      <w:iCs/>
      <w:color w:val="404040" w:themeColor="text1" w:themeTint="BF"/>
    </w:rPr>
  </w:style>
  <w:style w:type="paragraph" w:styleId="ListParagraph">
    <w:name w:val="List Paragraph"/>
    <w:basedOn w:val="Normal"/>
    <w:uiPriority w:val="34"/>
    <w:qFormat/>
    <w:rsid w:val="00441886"/>
    <w:pPr>
      <w:ind w:left="720"/>
      <w:contextualSpacing/>
    </w:pPr>
  </w:style>
  <w:style w:type="character" w:styleId="IntenseEmphasis">
    <w:name w:val="Intense Emphasis"/>
    <w:basedOn w:val="DefaultParagraphFont"/>
    <w:uiPriority w:val="21"/>
    <w:qFormat/>
    <w:rsid w:val="00441886"/>
    <w:rPr>
      <w:i/>
      <w:iCs/>
      <w:color w:val="0F4761" w:themeColor="accent1" w:themeShade="BF"/>
    </w:rPr>
  </w:style>
  <w:style w:type="paragraph" w:styleId="IntenseQuote">
    <w:name w:val="Intense Quote"/>
    <w:basedOn w:val="Normal"/>
    <w:next w:val="Normal"/>
    <w:link w:val="IntenseQuoteChar"/>
    <w:uiPriority w:val="30"/>
    <w:qFormat/>
    <w:rsid w:val="00441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886"/>
    <w:rPr>
      <w:i/>
      <w:iCs/>
      <w:color w:val="0F4761" w:themeColor="accent1" w:themeShade="BF"/>
    </w:rPr>
  </w:style>
  <w:style w:type="character" w:styleId="IntenseReference">
    <w:name w:val="Intense Reference"/>
    <w:basedOn w:val="DefaultParagraphFont"/>
    <w:uiPriority w:val="32"/>
    <w:qFormat/>
    <w:rsid w:val="00441886"/>
    <w:rPr>
      <w:b/>
      <w:bCs/>
      <w:smallCaps/>
      <w:color w:val="0F4761" w:themeColor="accent1" w:themeShade="BF"/>
      <w:spacing w:val="5"/>
    </w:rPr>
  </w:style>
  <w:style w:type="paragraph" w:styleId="NormalWeb">
    <w:name w:val="Normal (Web)"/>
    <w:basedOn w:val="Normal"/>
    <w:uiPriority w:val="99"/>
    <w:semiHidden/>
    <w:unhideWhenUsed/>
    <w:rsid w:val="006D0A53"/>
    <w:pPr>
      <w:spacing w:before="100" w:beforeAutospacing="1" w:after="100" w:afterAutospacing="1"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2292</Words>
  <Characters>13070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Rubio, Nicole</dc:creator>
  <cp:keywords/>
  <dc:description/>
  <cp:lastModifiedBy>Rubio, Nicole</cp:lastModifiedBy>
  <cp:revision>1</cp:revision>
  <dcterms:created xsi:type="dcterms:W3CDTF">2025-09-19T14:09:00Z</dcterms:created>
  <dcterms:modified xsi:type="dcterms:W3CDTF">2025-09-19T14:36:00Z</dcterms:modified>
</cp:coreProperties>
</file>