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5083"/>
        <w:gridCol w:w="3773"/>
      </w:tblGrid>
      <w:tr w:rsidR="00C800BF" w:rsidTr="00C800BF">
        <w:tc>
          <w:tcPr>
            <w:tcW w:w="5083" w:type="dxa"/>
          </w:tcPr>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t>Plaintiff,</w:t>
            </w:r>
          </w:p>
          <w:p w:rsidR="00C800BF" w:rsidRDefault="00C800BF">
            <w:p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p>
          <w:p w:rsidR="00C800BF" w:rsidRDefault="00C800BF">
            <w:pPr>
              <w:spacing w:after="0" w:line="240" w:lineRule="auto"/>
              <w:jc w:val="both"/>
              <w:rPr>
                <w:rFonts w:ascii="Times New Roman" w:eastAsia="Times New Roman" w:hAnsi="Times New Roman" w:cs="Times New Roman"/>
                <w:spacing w:val="-3"/>
                <w:sz w:val="24"/>
                <w:szCs w:val="24"/>
              </w:rPr>
            </w:pPr>
            <w:r>
              <w:rPr>
                <w:rFonts w:ascii="Times New Roman" w:eastAsia="Times New Roman" w:hAnsi="Times New Roman" w:cs="Times New Roman"/>
                <w:spacing w:val="-3"/>
                <w:sz w:val="24"/>
                <w:szCs w:val="24"/>
              </w:rPr>
              <w:t>vs.</w:t>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r>
              <w:rPr>
                <w:rFonts w:ascii="Times New Roman" w:eastAsia="Times New Roman" w:hAnsi="Times New Roman" w:cs="Times New Roman"/>
                <w:spacing w:val="-3"/>
                <w:sz w:val="24"/>
                <w:szCs w:val="24"/>
              </w:rPr>
              <w:tab/>
            </w:r>
          </w:p>
          <w:p w:rsidR="00C800BF" w:rsidRDefault="00C800BF">
            <w:pPr>
              <w:spacing w:after="0" w:line="240" w:lineRule="auto"/>
              <w:jc w:val="both"/>
              <w:rPr>
                <w:rFonts w:ascii="Times New Roman" w:eastAsia="Times New Roman" w:hAnsi="Times New Roman" w:cs="Times New Roman"/>
                <w:spacing w:val="-3"/>
                <w:sz w:val="24"/>
                <w:szCs w:val="24"/>
              </w:rPr>
            </w:pPr>
          </w:p>
          <w:p w:rsidR="00C800BF" w:rsidRDefault="00C800B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pacing w:val="-3"/>
                <w:sz w:val="24"/>
                <w:szCs w:val="24"/>
              </w:rPr>
              <w:tab/>
            </w:r>
          </w:p>
        </w:tc>
        <w:tc>
          <w:tcPr>
            <w:tcW w:w="3773" w:type="dxa"/>
          </w:tcPr>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THE CIRCUIT COURT OF THE ELEVENTH JUDICIAL CIRCUIT IN AND FOR MIAMI-DADE COUNTY FLORIDA</w:t>
            </w:r>
          </w:p>
          <w:p w:rsidR="00C800BF" w:rsidRDefault="00C800BF">
            <w:pPr>
              <w:widowControl w:val="0"/>
              <w:spacing w:after="0" w:line="240" w:lineRule="auto"/>
              <w:rPr>
                <w:rFonts w:ascii="Times New Roman" w:eastAsia="Times New Roman" w:hAnsi="Times New Roman" w:cs="Times New Roman"/>
                <w:sz w:val="24"/>
                <w:szCs w:val="24"/>
              </w:rPr>
            </w:pPr>
          </w:p>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Complex Business Litigation Section: CA 44 </w:t>
            </w:r>
          </w:p>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Case No.: </w:t>
            </w:r>
          </w:p>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Related Case: </w:t>
            </w:r>
          </w:p>
        </w:tc>
      </w:tr>
      <w:tr w:rsidR="00C800BF" w:rsidTr="00C800BF">
        <w:tc>
          <w:tcPr>
            <w:tcW w:w="5083" w:type="dxa"/>
            <w:hideMark/>
          </w:tcPr>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Defendant,</w:t>
            </w:r>
          </w:p>
        </w:tc>
        <w:tc>
          <w:tcPr>
            <w:tcW w:w="3773" w:type="dxa"/>
          </w:tcPr>
          <w:p w:rsidR="00C800BF" w:rsidRDefault="00C800BF">
            <w:pPr>
              <w:widowControl w:val="0"/>
              <w:spacing w:after="0" w:line="240" w:lineRule="auto"/>
              <w:rPr>
                <w:rFonts w:ascii="Times New Roman" w:eastAsia="Times New Roman" w:hAnsi="Times New Roman" w:cs="Times New Roman"/>
                <w:sz w:val="24"/>
                <w:szCs w:val="24"/>
              </w:rPr>
            </w:pPr>
          </w:p>
        </w:tc>
      </w:tr>
      <w:tr w:rsidR="00C800BF" w:rsidTr="00C800BF">
        <w:tc>
          <w:tcPr>
            <w:tcW w:w="5083" w:type="dxa"/>
          </w:tcPr>
          <w:p w:rsidR="00C800BF" w:rsidRDefault="00C800BF">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w:t>
            </w:r>
          </w:p>
          <w:p w:rsidR="00C800BF" w:rsidRDefault="00C800BF">
            <w:pPr>
              <w:widowControl w:val="0"/>
              <w:spacing w:after="0" w:line="240" w:lineRule="auto"/>
              <w:rPr>
                <w:rFonts w:ascii="Times New Roman" w:eastAsia="Times New Roman" w:hAnsi="Times New Roman" w:cs="Times New Roman"/>
                <w:sz w:val="24"/>
                <w:szCs w:val="24"/>
              </w:rPr>
            </w:pPr>
          </w:p>
        </w:tc>
        <w:tc>
          <w:tcPr>
            <w:tcW w:w="3773" w:type="dxa"/>
          </w:tcPr>
          <w:p w:rsidR="00C800BF" w:rsidRDefault="00C800BF">
            <w:pPr>
              <w:widowControl w:val="0"/>
              <w:spacing w:after="0" w:line="240" w:lineRule="auto"/>
              <w:rPr>
                <w:rFonts w:ascii="Times New Roman" w:eastAsia="Times New Roman" w:hAnsi="Times New Roman" w:cs="Times New Roman"/>
                <w:sz w:val="24"/>
                <w:szCs w:val="24"/>
              </w:rPr>
            </w:pPr>
          </w:p>
        </w:tc>
      </w:tr>
    </w:tbl>
    <w:p w:rsidR="00C800BF" w:rsidRDefault="00C800BF" w:rsidP="00C800BF">
      <w:pPr>
        <w:widowControl w:val="0"/>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NOTICE AND ORDER OF ADHERENCE TO </w:t>
      </w:r>
    </w:p>
    <w:p w:rsidR="00C800BF" w:rsidRDefault="00C800BF" w:rsidP="00C800BF">
      <w:pPr>
        <w:widowControl w:val="0"/>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COMPLEX BUSINESS LITIGATION SECTION PROCEDURES</w:t>
      </w:r>
    </w:p>
    <w:p w:rsidR="00C800BF" w:rsidRDefault="00C800BF" w:rsidP="00C800BF">
      <w:pPr>
        <w:widowControl w:val="0"/>
        <w:spacing w:after="0" w:line="240" w:lineRule="auto"/>
        <w:jc w:val="center"/>
        <w:rPr>
          <w:rFonts w:ascii="Times New Roman" w:eastAsia="Times New Roman" w:hAnsi="Times New Roman" w:cs="Times New Roman"/>
          <w:sz w:val="24"/>
          <w:szCs w:val="24"/>
        </w:rPr>
      </w:pP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WHEREAS</w:t>
      </w:r>
      <w:r>
        <w:rPr>
          <w:rFonts w:ascii="Times New Roman" w:eastAsia="Times New Roman" w:hAnsi="Times New Roman" w:cs="Times New Roman"/>
          <w:sz w:val="24"/>
          <w:szCs w:val="24"/>
        </w:rPr>
        <w:t>, the Complex Business Litigation Procedures shall apply to all actions in the Complex Business Litigation Section and Fla. R. Civ. P. 1.201 Complex Litigation, except to the extent that, in any particular action, they are superseded by an Order.</w:t>
      </w: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b/>
          <w:sz w:val="24"/>
          <w:szCs w:val="24"/>
        </w:rPr>
        <w:t xml:space="preserve">WHEREAS, </w:t>
      </w:r>
      <w:r>
        <w:rPr>
          <w:rFonts w:ascii="Times New Roman" w:eastAsia="Times New Roman" w:hAnsi="Times New Roman" w:cs="Times New Roman"/>
          <w:sz w:val="24"/>
          <w:szCs w:val="24"/>
        </w:rPr>
        <w:t xml:space="preserve">the Complex Business Litigation Procedures are designed to facilitate the proceedings of cases by the Eleventh Judicial Circuit Complex Business Litigation Section; to promote the transmission and access to case information by the Court, litigants, counsel, and the public; and to facilitate the efficient and effective presentation of evidence in the courtroom.  These Procedures shall be construed and enforced to avoid technical delay, </w:t>
      </w:r>
      <w:r>
        <w:rPr>
          <w:rFonts w:ascii="Times New Roman" w:eastAsia="Times New Roman" w:hAnsi="Times New Roman" w:cs="Times New Roman"/>
          <w:b/>
          <w:sz w:val="24"/>
          <w:szCs w:val="24"/>
        </w:rPr>
        <w:t>encourage civility</w:t>
      </w:r>
      <w:r>
        <w:rPr>
          <w:rFonts w:ascii="Times New Roman" w:eastAsia="Times New Roman" w:hAnsi="Times New Roman" w:cs="Times New Roman"/>
          <w:sz w:val="24"/>
          <w:szCs w:val="24"/>
        </w:rPr>
        <w:t>, permit just and prompt determination of all proceedings, and promote the efficient administration of justice.</w:t>
      </w: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NOTICE IS HEREBY GIVEN</w:t>
      </w:r>
      <w:r>
        <w:rPr>
          <w:rFonts w:ascii="Times New Roman" w:eastAsia="Times New Roman" w:hAnsi="Times New Roman" w:cs="Times New Roman"/>
          <w:sz w:val="24"/>
          <w:szCs w:val="24"/>
        </w:rPr>
        <w:t xml:space="preserve"> that all outstanding and future motions pertaining to cases within the Complex Business Litigation Section must adhere to Complex Business Litigation Section Procedures, which are available at the court’s website </w:t>
      </w:r>
      <w:hyperlink r:id="rId4" w:history="1">
        <w:r>
          <w:rPr>
            <w:rStyle w:val="Hyperlink"/>
            <w:rFonts w:ascii="Times New Roman" w:eastAsia="Times New Roman" w:hAnsi="Times New Roman" w:cs="Times New Roman"/>
            <w:sz w:val="24"/>
            <w:szCs w:val="24"/>
          </w:rPr>
          <w:t>www.jud11.flcourts.org</w:t>
        </w:r>
      </w:hyperlink>
      <w:r>
        <w:rPr>
          <w:rFonts w:ascii="Times New Roman" w:eastAsia="Times New Roman" w:hAnsi="Times New Roman" w:cs="Times New Roman"/>
          <w:sz w:val="24"/>
          <w:szCs w:val="24"/>
        </w:rPr>
        <w:t>.</w:t>
      </w: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The Parties are ordered to provide courtesy copies of </w:t>
      </w:r>
      <w:r>
        <w:rPr>
          <w:rFonts w:ascii="Times New Roman" w:eastAsia="Times New Roman" w:hAnsi="Times New Roman" w:cs="Times New Roman"/>
          <w:b/>
          <w:sz w:val="24"/>
          <w:szCs w:val="24"/>
          <w:u w:val="single"/>
        </w:rPr>
        <w:t>all</w:t>
      </w:r>
      <w:r>
        <w:rPr>
          <w:rFonts w:ascii="Times New Roman" w:eastAsia="Times New Roman" w:hAnsi="Times New Roman" w:cs="Times New Roman"/>
          <w:b/>
          <w:sz w:val="24"/>
          <w:szCs w:val="24"/>
        </w:rPr>
        <w:t xml:space="preserve"> motions and where required, memoranda pertaining thereto, hereinafter filed in this case, to the undersigned Judge by e-courtesy copy.   Hard copies need not be delivered unless requested by chambers.  All e-mails must bear the case number first in the subject line, followed by the case name.  </w:t>
      </w: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MOTIONS FILED WITHOUT COURTESY COPIES MAY NOT BE CONSIDERED.</w:t>
      </w:r>
    </w:p>
    <w:p w:rsidR="00C800BF" w:rsidRDefault="00C800BF" w:rsidP="00C800BF">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480" w:lineRule="auto"/>
        <w:ind w:firstLine="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Any previously filed motion not in compliance with procedures, e.g., memorandum of law where required, must be resubmitted in conformity with the Complex Business Litigation Procedures</w:t>
      </w:r>
      <w:r>
        <w:rPr>
          <w:rFonts w:ascii="Times New Roman" w:eastAsia="Times New Roman" w:hAnsi="Times New Roman" w:cs="Times New Roman"/>
          <w:b/>
          <w:sz w:val="24"/>
          <w:szCs w:val="24"/>
        </w:rPr>
        <w:t>.</w:t>
      </w:r>
    </w:p>
    <w:p w:rsidR="00C800BF" w:rsidRDefault="00C800BF" w:rsidP="00C800BF">
      <w:pPr>
        <w:widowControl w:val="0"/>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Counsel for Plaintiff(s) and </w:t>
      </w:r>
      <w:proofErr w:type="gramStart"/>
      <w:r>
        <w:rPr>
          <w:rFonts w:ascii="Times New Roman" w:eastAsia="Times New Roman" w:hAnsi="Times New Roman" w:cs="Times New Roman"/>
          <w:b/>
          <w:sz w:val="24"/>
          <w:szCs w:val="24"/>
        </w:rPr>
        <w:t>Third Party</w:t>
      </w:r>
      <w:proofErr w:type="gramEnd"/>
      <w:r>
        <w:rPr>
          <w:rFonts w:ascii="Times New Roman" w:eastAsia="Times New Roman" w:hAnsi="Times New Roman" w:cs="Times New Roman"/>
          <w:b/>
          <w:sz w:val="24"/>
          <w:szCs w:val="24"/>
        </w:rPr>
        <w:t xml:space="preserve"> Plaintiff(s) is/are ORDERED</w:t>
      </w:r>
      <w:r>
        <w:rPr>
          <w:rFonts w:ascii="Times New Roman" w:eastAsia="Times New Roman" w:hAnsi="Times New Roman" w:cs="Times New Roman"/>
          <w:sz w:val="24"/>
          <w:szCs w:val="24"/>
        </w:rPr>
        <w:t xml:space="preserve"> to confirm all parties subsequently named or appearing herein have been served copies of this Notice.  If any subsequently served or named party has not been served with a copy of this notice, Plaintiff and </w:t>
      </w:r>
      <w:proofErr w:type="gramStart"/>
      <w:r>
        <w:rPr>
          <w:rFonts w:ascii="Times New Roman" w:eastAsia="Times New Roman" w:hAnsi="Times New Roman" w:cs="Times New Roman"/>
          <w:sz w:val="24"/>
          <w:szCs w:val="24"/>
        </w:rPr>
        <w:t>Third Party</w:t>
      </w:r>
      <w:proofErr w:type="gramEnd"/>
      <w:r>
        <w:rPr>
          <w:rFonts w:ascii="Times New Roman" w:eastAsia="Times New Roman" w:hAnsi="Times New Roman" w:cs="Times New Roman"/>
          <w:sz w:val="24"/>
          <w:szCs w:val="24"/>
        </w:rPr>
        <w:t xml:space="preserve"> Plaintiff </w:t>
      </w:r>
      <w:r>
        <w:rPr>
          <w:rFonts w:ascii="Times New Roman" w:eastAsia="Times New Roman" w:hAnsi="Times New Roman" w:cs="Times New Roman"/>
          <w:sz w:val="24"/>
          <w:szCs w:val="24"/>
          <w:u w:val="single"/>
        </w:rPr>
        <w:t>shall</w:t>
      </w:r>
      <w:r>
        <w:rPr>
          <w:rFonts w:ascii="Times New Roman" w:eastAsia="Times New Roman" w:hAnsi="Times New Roman" w:cs="Times New Roman"/>
          <w:sz w:val="24"/>
          <w:szCs w:val="24"/>
        </w:rPr>
        <w:t xml:space="preserve"> provide the party with a copy of this Notice.  </w:t>
      </w:r>
    </w:p>
    <w:p w:rsidR="00C800BF" w:rsidRDefault="00C800BF" w:rsidP="00C800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ab/>
        <w:t>If you are a person with a disability who needs any accommodation in order to participate in this proceeding, you are entitled, at no cost to you, to the provision of certain assistance. Please contact the Eleventh Judicial Circuit Court’s ADA Coordinator, Lawson E. Thomas Courthouse Center, 175 NW 1</w:t>
      </w:r>
      <w:r>
        <w:rPr>
          <w:rFonts w:ascii="Times New Roman" w:eastAsia="Times New Roman" w:hAnsi="Times New Roman" w:cs="Times New Roman"/>
          <w:b/>
          <w:bCs/>
          <w:sz w:val="28"/>
          <w:szCs w:val="28"/>
          <w:vertAlign w:val="superscript"/>
        </w:rPr>
        <w:t>st</w:t>
      </w:r>
      <w:r>
        <w:rPr>
          <w:rFonts w:ascii="Times New Roman" w:eastAsia="Times New Roman" w:hAnsi="Times New Roman" w:cs="Times New Roman"/>
          <w:b/>
          <w:bCs/>
          <w:sz w:val="28"/>
          <w:szCs w:val="28"/>
        </w:rPr>
        <w:t xml:space="preserve"> Ave., Suite 2702, Miami, FL 33128, Telephone (305) 349-7175; TDD (305) 349-7174, Fax (305) 349-7355 at least 7 days before your scheduled court appearance, or immediately upon receiving this notification if the time before the scheduled appearance is less than 7 days; if you are hearing or voice impaired, call 711.</w:t>
      </w:r>
    </w:p>
    <w:p w:rsidR="00C800BF" w:rsidRDefault="00C800BF" w:rsidP="00C800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jc w:val="both"/>
        <w:rPr>
          <w:rFonts w:ascii="Times New Roman" w:eastAsia="Times New Roman" w:hAnsi="Times New Roman" w:cs="Times New Roman"/>
          <w:sz w:val="24"/>
          <w:szCs w:val="24"/>
        </w:rPr>
      </w:pPr>
      <w:bookmarkStart w:id="0" w:name="_GoBack"/>
      <w:bookmarkEnd w:id="0"/>
    </w:p>
    <w:p w:rsidR="00C800BF" w:rsidRDefault="00C800BF" w:rsidP="00C800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48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DONE AND ORDERED</w:t>
      </w:r>
      <w:r>
        <w:rPr>
          <w:rFonts w:ascii="Times New Roman" w:eastAsia="Times New Roman" w:hAnsi="Times New Roman" w:cs="Times New Roman"/>
          <w:sz w:val="24"/>
          <w:szCs w:val="24"/>
        </w:rPr>
        <w:t xml:space="preserve"> Chamber at Miami-Dade County, Florida on this 6th day of </w:t>
      </w:r>
      <w:proofErr w:type="gramStart"/>
      <w:r>
        <w:rPr>
          <w:rFonts w:ascii="Times New Roman" w:eastAsia="Times New Roman" w:hAnsi="Times New Roman" w:cs="Times New Roman"/>
          <w:sz w:val="24"/>
          <w:szCs w:val="24"/>
        </w:rPr>
        <w:t>January,</w:t>
      </w:r>
      <w:proofErr w:type="gramEnd"/>
      <w:r>
        <w:rPr>
          <w:rFonts w:ascii="Times New Roman" w:eastAsia="Times New Roman" w:hAnsi="Times New Roman" w:cs="Times New Roman"/>
          <w:sz w:val="24"/>
          <w:szCs w:val="24"/>
        </w:rPr>
        <w:t xml:space="preserve"> 2020.</w:t>
      </w:r>
    </w:p>
    <w:p w:rsidR="00C800BF" w:rsidRDefault="00C800BF" w:rsidP="00C800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ind w:firstLine="2160"/>
        <w:jc w:val="both"/>
        <w:rPr>
          <w:rFonts w:ascii="Times New Roman" w:eastAsia="Times New Roman" w:hAnsi="Times New Roman" w:cs="Times New Roman"/>
          <w:sz w:val="24"/>
          <w:szCs w:val="24"/>
        </w:rPr>
      </w:pPr>
    </w:p>
    <w:p w:rsidR="00C800BF" w:rsidRDefault="00C800BF" w:rsidP="00C800BF">
      <w:pPr>
        <w:spacing w:after="0" w:line="240" w:lineRule="auto"/>
        <w:ind w:left="2880" w:firstLine="2160"/>
        <w:jc w:val="both"/>
        <w:rPr>
          <w:rFonts w:ascii="Arial" w:hAnsi="Arial" w:cs="Arial"/>
        </w:rPr>
      </w:pPr>
      <w:r>
        <w:rPr>
          <w:b/>
          <w:sz w:val="28"/>
          <w:szCs w:val="28"/>
        </w:rPr>
        <w:t>JUDGE WILLIAM L. THOMAS</w:t>
      </w:r>
    </w:p>
    <w:p w:rsidR="00C800BF" w:rsidRDefault="00C800BF" w:rsidP="00C800BF">
      <w:pPr>
        <w:spacing w:after="0" w:line="240" w:lineRule="auto"/>
        <w:ind w:left="4320" w:firstLine="720"/>
        <w:jc w:val="both"/>
        <w:rPr>
          <w:rFonts w:ascii="Arial" w:hAnsi="Arial" w:cs="Arial"/>
        </w:rPr>
      </w:pPr>
      <w:r>
        <w:rPr>
          <w:rFonts w:ascii="Arial" w:hAnsi="Arial" w:cs="Arial"/>
        </w:rPr>
        <w:t>CIRCUIT COURT JUDGE</w:t>
      </w:r>
    </w:p>
    <w:p w:rsidR="00C800BF" w:rsidRDefault="00C800BF" w:rsidP="00C800BF">
      <w:pPr>
        <w:widowControl w:val="0"/>
        <w:spacing w:after="0" w:line="240" w:lineRule="auto"/>
        <w:rPr>
          <w:rFonts w:ascii="Times New Roman" w:eastAsia="Times New Roman" w:hAnsi="Times New Roman" w:cs="Times New Roman"/>
          <w:b/>
          <w:bCs/>
          <w:sz w:val="24"/>
          <w:szCs w:val="24"/>
          <w:u w:val="single"/>
        </w:rPr>
      </w:pPr>
    </w:p>
    <w:p w:rsidR="00C800BF" w:rsidRDefault="00C800BF" w:rsidP="00C800B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after="0" w:line="240" w:lineRule="auto"/>
        <w:rPr>
          <w:rFonts w:ascii="Times New Roman" w:eastAsia="Times New Roman" w:hAnsi="Times New Roman" w:cs="Times New Roman"/>
          <w:sz w:val="24"/>
          <w:szCs w:val="24"/>
        </w:rPr>
      </w:pPr>
    </w:p>
    <w:p w:rsidR="00C800BF" w:rsidRDefault="00C800BF"/>
    <w:sectPr w:rsidR="00C800BF" w:rsidSect="00C800BF">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BF"/>
    <w:rsid w:val="00C80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49D41"/>
  <w15:chartTrackingRefBased/>
  <w15:docId w15:val="{CD6F7CD3-6638-43F1-9610-A9FE14B3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00BF"/>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800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14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ud11.flcou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480</Words>
  <Characters>2740</Characters>
  <Application>Microsoft Office Word</Application>
  <DocSecurity>0</DocSecurity>
  <Lines>22</Lines>
  <Paragraphs>6</Paragraphs>
  <ScaleCrop>false</ScaleCrop>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Diaz, Andrew</dc:creator>
  <cp:keywords/>
  <dc:description/>
  <cp:lastModifiedBy>Diaz, Andrew</cp:lastModifiedBy>
  <cp:revision>1</cp:revision>
  <dcterms:created xsi:type="dcterms:W3CDTF">2020-01-07T18:12:00Z</dcterms:created>
  <dcterms:modified xsi:type="dcterms:W3CDTF">2020-01-07T18:13:00Z</dcterms:modified>
</cp:coreProperties>
</file>