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4A0" w:firstRow="1" w:lastRow="0" w:firstColumn="1" w:lastColumn="0" w:noHBand="0" w:noVBand="1"/>
      </w:tblPr>
      <w:tblGrid>
        <w:gridCol w:w="9360"/>
      </w:tblGrid>
      <w:tr w:rsidR="00253288" w:rsidTr="00253288">
        <w:tc>
          <w:tcPr>
            <w:tcW w:w="9576" w:type="dxa"/>
            <w:hideMark/>
          </w:tcPr>
          <w:p w:rsidR="00253288" w:rsidRDefault="00253288">
            <w:pPr>
              <w:spacing w:after="0" w:line="240" w:lineRule="auto"/>
              <w:rPr>
                <w:rFonts w:ascii="Times New Roman" w:hAnsi="Times New Roman"/>
                <w:b/>
              </w:rPr>
            </w:pPr>
            <w:r>
              <w:rPr>
                <w:rFonts w:ascii="Times New Roman" w:hAnsi="Times New Roman"/>
                <w:b/>
              </w:rPr>
              <w:t xml:space="preserve">IN </w:t>
            </w:r>
            <w:bookmarkStart w:id="0" w:name="_GoBack"/>
            <w:bookmarkEnd w:id="0"/>
            <w:r>
              <w:rPr>
                <w:rFonts w:ascii="Times New Roman" w:hAnsi="Times New Roman"/>
                <w:b/>
              </w:rPr>
              <w:t xml:space="preserve">THE CIRCUIT COURT OF THE ELEVENTH JUDICIAL CIRCUIT </w:t>
            </w:r>
          </w:p>
          <w:p w:rsidR="00253288" w:rsidRDefault="00253288">
            <w:pPr>
              <w:spacing w:after="0" w:line="240" w:lineRule="auto"/>
              <w:rPr>
                <w:rFonts w:ascii="Times New Roman" w:hAnsi="Times New Roman"/>
              </w:rPr>
            </w:pPr>
            <w:r>
              <w:rPr>
                <w:rFonts w:ascii="Times New Roman" w:hAnsi="Times New Roman"/>
                <w:b/>
              </w:rPr>
              <w:t>IN AND FOR MIAMI-DADE COUNTY, FLORIDA</w:t>
            </w:r>
          </w:p>
        </w:tc>
      </w:tr>
      <w:tr w:rsidR="00253288" w:rsidTr="00253288">
        <w:trPr>
          <w:trHeight w:val="260"/>
        </w:trPr>
        <w:tc>
          <w:tcPr>
            <w:tcW w:w="9576" w:type="dxa"/>
          </w:tcPr>
          <w:p w:rsidR="00253288" w:rsidRDefault="00253288">
            <w:pPr>
              <w:autoSpaceDE w:val="0"/>
              <w:autoSpaceDN w:val="0"/>
              <w:adjustRightInd w:val="0"/>
              <w:spacing w:after="0" w:line="240" w:lineRule="auto"/>
              <w:rPr>
                <w:rFonts w:ascii="Times New Roman" w:eastAsia="Times New Roman" w:hAnsi="Times New Roman"/>
                <w:b/>
                <w:bCs/>
              </w:rPr>
            </w:pPr>
          </w:p>
        </w:tc>
      </w:tr>
      <w:tr w:rsidR="00253288" w:rsidTr="00253288">
        <w:tc>
          <w:tcPr>
            <w:tcW w:w="9576" w:type="dxa"/>
          </w:tcPr>
          <w:p w:rsidR="00253288" w:rsidRDefault="00253288">
            <w:pPr>
              <w:tabs>
                <w:tab w:val="left" w:pos="-1440"/>
              </w:tabs>
              <w:autoSpaceDE w:val="0"/>
              <w:autoSpaceDN w:val="0"/>
              <w:adjustRightInd w:val="0"/>
              <w:spacing w:after="0" w:line="240" w:lineRule="auto"/>
              <w:rPr>
                <w:rFonts w:ascii="Times New Roman" w:eastAsia="Times New Roman" w:hAnsi="Times New Roman"/>
                <w:b/>
              </w:rPr>
            </w:pPr>
            <w:r>
              <w:rPr>
                <w:rFonts w:ascii="Times New Roman" w:eastAsia="Times New Roman" w:hAnsi="Times New Roman"/>
                <w:b/>
              </w:rPr>
              <w:t xml:space="preserve">CIRCUIT CIVIL DIVISION </w:t>
            </w:r>
          </w:p>
          <w:p w:rsidR="00253288" w:rsidRDefault="00253288">
            <w:pPr>
              <w:spacing w:after="0" w:line="240" w:lineRule="auto"/>
              <w:rPr>
                <w:rFonts w:ascii="Times New Roman" w:eastAsia="Calibri" w:hAnsi="Times New Roman"/>
              </w:rPr>
            </w:pPr>
          </w:p>
        </w:tc>
      </w:tr>
      <w:tr w:rsidR="00253288" w:rsidTr="00253288">
        <w:tc>
          <w:tcPr>
            <w:tcW w:w="9576" w:type="dxa"/>
          </w:tcPr>
          <w:p w:rsidR="00253288" w:rsidRDefault="00253288">
            <w:pPr>
              <w:tabs>
                <w:tab w:val="left" w:pos="-1440"/>
              </w:tabs>
              <w:autoSpaceDE w:val="0"/>
              <w:autoSpaceDN w:val="0"/>
              <w:adjustRightInd w:val="0"/>
              <w:spacing w:after="0" w:line="240" w:lineRule="auto"/>
              <w:rPr>
                <w:rFonts w:ascii="Times New Roman" w:eastAsia="Times New Roman" w:hAnsi="Times New Roman"/>
              </w:rPr>
            </w:pPr>
            <w:r>
              <w:rPr>
                <w:rFonts w:ascii="Times New Roman" w:eastAsia="Times New Roman" w:hAnsi="Times New Roman"/>
                <w:b/>
              </w:rPr>
              <w:t>CASE NO.</w:t>
            </w:r>
            <w:r>
              <w:rPr>
                <w:rFonts w:ascii="Times New Roman" w:eastAsia="Times New Roman" w:hAnsi="Times New Roman"/>
              </w:rPr>
              <w:t>:</w:t>
            </w:r>
            <w:r>
              <w:rPr>
                <w:rFonts w:ascii="Arial" w:hAnsi="Arial" w:cs="Arial"/>
              </w:rPr>
              <w:t xml:space="preserve"> </w:t>
            </w:r>
          </w:p>
          <w:p w:rsidR="00253288" w:rsidRDefault="00253288">
            <w:pPr>
              <w:tabs>
                <w:tab w:val="left" w:pos="-1440"/>
              </w:tabs>
              <w:autoSpaceDE w:val="0"/>
              <w:autoSpaceDN w:val="0"/>
              <w:adjustRightInd w:val="0"/>
              <w:spacing w:after="0" w:line="240" w:lineRule="auto"/>
              <w:rPr>
                <w:rFonts w:ascii="Times New Roman" w:eastAsia="Times New Roman" w:hAnsi="Times New Roman"/>
              </w:rPr>
            </w:pPr>
            <w:r>
              <w:rPr>
                <w:rFonts w:ascii="Times New Roman" w:eastAsia="Times New Roman" w:hAnsi="Times New Roman"/>
                <w:b/>
              </w:rPr>
              <w:t>Section</w:t>
            </w:r>
            <w:r>
              <w:rPr>
                <w:rFonts w:ascii="Times New Roman" w:eastAsia="Times New Roman" w:hAnsi="Times New Roman"/>
              </w:rPr>
              <w:t xml:space="preserve">: CA 44 </w:t>
            </w:r>
          </w:p>
          <w:p w:rsidR="00253288" w:rsidRDefault="00253288">
            <w:pPr>
              <w:spacing w:after="0" w:line="240" w:lineRule="auto"/>
              <w:rPr>
                <w:rFonts w:ascii="Times New Roman" w:eastAsia="Calibri" w:hAnsi="Times New Roman"/>
              </w:rPr>
            </w:pPr>
          </w:p>
        </w:tc>
      </w:tr>
      <w:tr w:rsidR="00253288" w:rsidTr="00253288">
        <w:tc>
          <w:tcPr>
            <w:tcW w:w="9576" w:type="dxa"/>
            <w:hideMark/>
          </w:tcPr>
          <w:p w:rsidR="00253288" w:rsidRDefault="00253288">
            <w:pPr>
              <w:rPr>
                <w:rFonts w:ascii="Times New Roman" w:eastAsia="Calibri" w:hAnsi="Times New Roman"/>
              </w:rPr>
            </w:pPr>
          </w:p>
        </w:tc>
      </w:tr>
      <w:tr w:rsidR="00253288" w:rsidTr="00253288">
        <w:tc>
          <w:tcPr>
            <w:tcW w:w="9576" w:type="dxa"/>
          </w:tcPr>
          <w:p w:rsidR="00253288" w:rsidRDefault="00253288">
            <w:pPr>
              <w:spacing w:after="0" w:line="240" w:lineRule="auto"/>
              <w:rPr>
                <w:rFonts w:ascii="Times New Roman" w:hAnsi="Times New Roman"/>
              </w:rPr>
            </w:pPr>
          </w:p>
          <w:p w:rsidR="00253288" w:rsidRDefault="00253288">
            <w:pPr>
              <w:spacing w:after="0" w:line="240" w:lineRule="auto"/>
              <w:rPr>
                <w:rFonts w:ascii="Times New Roman" w:eastAsia="Calibri" w:hAnsi="Times New Roman"/>
              </w:rPr>
            </w:pPr>
            <w:r>
              <w:rPr>
                <w:rFonts w:ascii="Times New Roman" w:hAnsi="Times New Roman"/>
              </w:rPr>
              <w:t xml:space="preserve">           </w:t>
            </w:r>
            <w:r>
              <w:rPr>
                <w:rFonts w:ascii="Times New Roman" w:hAnsi="Times New Roman"/>
                <w:b/>
              </w:rPr>
              <w:t>Plaintiff</w:t>
            </w:r>
            <w:r>
              <w:rPr>
                <w:rFonts w:ascii="Times New Roman" w:hAnsi="Times New Roman"/>
              </w:rPr>
              <w:t>,</w:t>
            </w:r>
          </w:p>
        </w:tc>
      </w:tr>
      <w:tr w:rsidR="00253288" w:rsidTr="00253288">
        <w:tc>
          <w:tcPr>
            <w:tcW w:w="9576" w:type="dxa"/>
          </w:tcPr>
          <w:p w:rsidR="00253288" w:rsidRDefault="00253288">
            <w:pPr>
              <w:spacing w:after="0" w:line="240" w:lineRule="auto"/>
              <w:rPr>
                <w:rFonts w:ascii="Times New Roman" w:hAnsi="Times New Roman"/>
              </w:rPr>
            </w:pPr>
          </w:p>
          <w:p w:rsidR="00253288" w:rsidRDefault="00253288">
            <w:pPr>
              <w:spacing w:after="0" w:line="240" w:lineRule="auto"/>
              <w:rPr>
                <w:rFonts w:ascii="Times New Roman" w:hAnsi="Times New Roman"/>
              </w:rPr>
            </w:pPr>
            <w:r>
              <w:rPr>
                <w:rFonts w:ascii="Times New Roman" w:hAnsi="Times New Roman"/>
              </w:rPr>
              <w:t>vs.</w:t>
            </w:r>
          </w:p>
        </w:tc>
      </w:tr>
      <w:tr w:rsidR="00253288" w:rsidTr="00253288">
        <w:tc>
          <w:tcPr>
            <w:tcW w:w="9576" w:type="dxa"/>
          </w:tcPr>
          <w:p w:rsidR="00253288" w:rsidRDefault="00253288">
            <w:pPr>
              <w:autoSpaceDE w:val="0"/>
              <w:autoSpaceDN w:val="0"/>
              <w:adjustRightInd w:val="0"/>
              <w:spacing w:after="0" w:line="240" w:lineRule="auto"/>
              <w:ind w:firstLine="720"/>
              <w:rPr>
                <w:rFonts w:ascii="Times New Roman" w:eastAsia="Times New Roman" w:hAnsi="Times New Roman"/>
                <w:b/>
              </w:rPr>
            </w:pPr>
          </w:p>
          <w:p w:rsidR="00253288" w:rsidRDefault="00253288">
            <w:pPr>
              <w:autoSpaceDE w:val="0"/>
              <w:autoSpaceDN w:val="0"/>
              <w:adjustRightInd w:val="0"/>
              <w:spacing w:after="0" w:line="240" w:lineRule="auto"/>
              <w:ind w:firstLine="720"/>
              <w:rPr>
                <w:rFonts w:ascii="Times New Roman" w:eastAsia="Times New Roman" w:hAnsi="Times New Roman"/>
              </w:rPr>
            </w:pPr>
            <w:r>
              <w:rPr>
                <w:rFonts w:ascii="Times New Roman" w:eastAsia="Times New Roman" w:hAnsi="Times New Roman"/>
                <w:b/>
              </w:rPr>
              <w:t>Defendant</w:t>
            </w:r>
            <w:r>
              <w:rPr>
                <w:rFonts w:ascii="Times New Roman" w:eastAsia="Times New Roman" w:hAnsi="Times New Roman"/>
              </w:rPr>
              <w:t>.</w:t>
            </w:r>
          </w:p>
        </w:tc>
      </w:tr>
      <w:tr w:rsidR="00253288" w:rsidTr="00253288">
        <w:trPr>
          <w:trHeight w:val="80"/>
        </w:trPr>
        <w:tc>
          <w:tcPr>
            <w:tcW w:w="9576" w:type="dxa"/>
            <w:hideMark/>
          </w:tcPr>
          <w:p w:rsidR="00253288" w:rsidRDefault="00253288">
            <w:pPr>
              <w:spacing w:after="0" w:line="240" w:lineRule="auto"/>
              <w:rPr>
                <w:rFonts w:ascii="Times New Roman" w:eastAsia="Calibri" w:hAnsi="Times New Roman"/>
              </w:rPr>
            </w:pPr>
            <w:r>
              <w:rPr>
                <w:rFonts w:ascii="Times New Roman" w:hAnsi="Times New Roman"/>
                <w:u w:val="single"/>
              </w:rPr>
              <w:t xml:space="preserve">                                                                          </w:t>
            </w:r>
            <w:r>
              <w:rPr>
                <w:rFonts w:ascii="Times New Roman" w:hAnsi="Times New Roman"/>
              </w:rPr>
              <w:t>/</w:t>
            </w:r>
          </w:p>
        </w:tc>
      </w:tr>
    </w:tbl>
    <w:p w:rsidR="00253288" w:rsidRDefault="00253288" w:rsidP="00253288">
      <w:pPr>
        <w:spacing w:line="480" w:lineRule="auto"/>
        <w:jc w:val="both"/>
        <w:rPr>
          <w:rFonts w:ascii="Arial" w:hAnsi="Arial" w:cs="Arial"/>
        </w:rPr>
      </w:pPr>
    </w:p>
    <w:p w:rsidR="00253288" w:rsidRDefault="00253288" w:rsidP="00253288">
      <w:pPr>
        <w:spacing w:line="480" w:lineRule="auto"/>
        <w:jc w:val="center"/>
        <w:rPr>
          <w:rFonts w:ascii="Arial" w:hAnsi="Arial" w:cs="Arial"/>
          <w:b/>
          <w:u w:val="single"/>
        </w:rPr>
      </w:pPr>
      <w:r>
        <w:rPr>
          <w:rFonts w:ascii="Arial" w:hAnsi="Arial" w:cs="Arial"/>
          <w:b/>
          <w:u w:val="single"/>
        </w:rPr>
        <w:t>MANDATORY ORDER TO CONFER AND CERTIFICATION REQUIREMENT</w:t>
      </w:r>
    </w:p>
    <w:p w:rsidR="00253288" w:rsidRDefault="00253288" w:rsidP="00253288">
      <w:pPr>
        <w:spacing w:line="480" w:lineRule="auto"/>
        <w:jc w:val="both"/>
        <w:rPr>
          <w:rFonts w:ascii="Arial" w:hAnsi="Arial" w:cs="Arial"/>
        </w:rPr>
      </w:pPr>
      <w:r>
        <w:rPr>
          <w:rFonts w:ascii="Arial" w:hAnsi="Arial" w:cs="Arial"/>
        </w:rPr>
        <w:tab/>
        <w:t xml:space="preserve">This case is subject to the Complex Business Litigation Rules.  The rules require that parties meet and confer prior to filing any motion to determine if issues can be narrowed, the appropriate amount of time required for hearing if hearing is requested, and any other issues such as the completion of related discovery.  Meet and Confer under these rules requires </w:t>
      </w:r>
      <w:r>
        <w:rPr>
          <w:rFonts w:ascii="Arial" w:hAnsi="Arial" w:cs="Arial"/>
          <w:b/>
        </w:rPr>
        <w:t>an actual effort</w:t>
      </w:r>
      <w:r>
        <w:rPr>
          <w:rFonts w:ascii="Arial" w:hAnsi="Arial" w:cs="Arial"/>
        </w:rPr>
        <w:t xml:space="preserve"> between attorneys, not staff.  </w:t>
      </w:r>
      <w:r>
        <w:rPr>
          <w:rFonts w:ascii="Arial" w:hAnsi="Arial" w:cs="Arial"/>
        </w:rPr>
        <w:tab/>
      </w:r>
    </w:p>
    <w:p w:rsidR="00253288" w:rsidRDefault="00253288" w:rsidP="00253288">
      <w:pPr>
        <w:spacing w:line="480" w:lineRule="auto"/>
        <w:jc w:val="both"/>
        <w:rPr>
          <w:rFonts w:ascii="Arial" w:hAnsi="Arial" w:cs="Arial"/>
        </w:rPr>
      </w:pPr>
      <w:r>
        <w:rPr>
          <w:rFonts w:ascii="Arial" w:hAnsi="Arial" w:cs="Arial"/>
        </w:rPr>
        <w:t xml:space="preserve">It is therefore:  </w:t>
      </w:r>
      <w:r>
        <w:rPr>
          <w:rFonts w:ascii="Arial" w:hAnsi="Arial" w:cs="Arial"/>
          <w:b/>
        </w:rPr>
        <w:t>ORDERED</w:t>
      </w:r>
      <w:r>
        <w:rPr>
          <w:rFonts w:ascii="Arial" w:hAnsi="Arial" w:cs="Arial"/>
        </w:rPr>
        <w:t xml:space="preserve"> and </w:t>
      </w:r>
      <w:r>
        <w:rPr>
          <w:rFonts w:ascii="Arial" w:hAnsi="Arial" w:cs="Arial"/>
          <w:b/>
        </w:rPr>
        <w:t>ADJUDGED</w:t>
      </w:r>
      <w:r>
        <w:rPr>
          <w:rFonts w:ascii="Arial" w:hAnsi="Arial" w:cs="Arial"/>
        </w:rPr>
        <w:t xml:space="preserve"> as follows:</w:t>
      </w:r>
    </w:p>
    <w:p w:rsidR="00253288" w:rsidRDefault="00253288" w:rsidP="00253288">
      <w:pPr>
        <w:spacing w:line="480" w:lineRule="auto"/>
        <w:jc w:val="both"/>
        <w:rPr>
          <w:rFonts w:ascii="Arial" w:hAnsi="Arial" w:cs="Arial"/>
        </w:rPr>
      </w:pPr>
      <w:r>
        <w:rPr>
          <w:rFonts w:ascii="Arial" w:hAnsi="Arial" w:cs="Arial"/>
        </w:rPr>
        <w:tab/>
        <w:t xml:space="preserve">All parties to a motion must meet the conferral requirements of the division.  The motion must contain a certification of the efforts at meet and confer, which shall include: </w:t>
      </w:r>
    </w:p>
    <w:p w:rsidR="00253288" w:rsidRDefault="00253288" w:rsidP="00253288">
      <w:pPr>
        <w:numPr>
          <w:ilvl w:val="0"/>
          <w:numId w:val="1"/>
        </w:numPr>
        <w:spacing w:after="0" w:line="480" w:lineRule="auto"/>
        <w:jc w:val="both"/>
        <w:rPr>
          <w:rFonts w:ascii="Arial" w:hAnsi="Arial" w:cs="Arial"/>
        </w:rPr>
      </w:pPr>
      <w:r>
        <w:rPr>
          <w:rFonts w:ascii="Arial" w:hAnsi="Arial" w:cs="Arial"/>
        </w:rPr>
        <w:t>A description of all efforts at a meet and confer, including names of movant and respondent attorneys, dates and method (email, telephone, live meeting) requesting a meet and confer; and</w:t>
      </w:r>
    </w:p>
    <w:p w:rsidR="00253288" w:rsidRDefault="00253288" w:rsidP="00253288">
      <w:pPr>
        <w:numPr>
          <w:ilvl w:val="0"/>
          <w:numId w:val="1"/>
        </w:numPr>
        <w:spacing w:after="0" w:line="480" w:lineRule="auto"/>
        <w:jc w:val="both"/>
        <w:rPr>
          <w:rFonts w:ascii="Arial" w:hAnsi="Arial" w:cs="Arial"/>
        </w:rPr>
      </w:pPr>
      <w:r>
        <w:rPr>
          <w:rFonts w:ascii="Arial" w:hAnsi="Arial" w:cs="Arial"/>
        </w:rPr>
        <w:t xml:space="preserve">A description of all dates for meet and confer </w:t>
      </w:r>
      <w:proofErr w:type="gramStart"/>
      <w:r>
        <w:rPr>
          <w:rFonts w:ascii="Arial" w:hAnsi="Arial" w:cs="Arial"/>
        </w:rPr>
        <w:t>actually held</w:t>
      </w:r>
      <w:proofErr w:type="gramEnd"/>
      <w:r>
        <w:rPr>
          <w:rFonts w:ascii="Arial" w:hAnsi="Arial" w:cs="Arial"/>
        </w:rPr>
        <w:t xml:space="preserve"> and the method and names of participating attorneys; and</w:t>
      </w:r>
    </w:p>
    <w:p w:rsidR="00253288" w:rsidRDefault="00253288" w:rsidP="00253288">
      <w:pPr>
        <w:numPr>
          <w:ilvl w:val="0"/>
          <w:numId w:val="1"/>
        </w:numPr>
        <w:spacing w:after="0" w:line="480" w:lineRule="auto"/>
        <w:jc w:val="both"/>
        <w:rPr>
          <w:rFonts w:ascii="Arial" w:hAnsi="Arial" w:cs="Arial"/>
        </w:rPr>
      </w:pPr>
      <w:r>
        <w:rPr>
          <w:rFonts w:ascii="Arial" w:hAnsi="Arial" w:cs="Arial"/>
        </w:rPr>
        <w:lastRenderedPageBreak/>
        <w:t xml:space="preserve">Results achieved, including consensus as to amount of time required for hearing, if granted. </w:t>
      </w:r>
    </w:p>
    <w:p w:rsidR="00253288" w:rsidRDefault="00253288" w:rsidP="00253288">
      <w:pPr>
        <w:spacing w:line="480" w:lineRule="auto"/>
        <w:ind w:firstLine="360"/>
        <w:jc w:val="both"/>
        <w:rPr>
          <w:rFonts w:ascii="Arial" w:hAnsi="Arial" w:cs="Arial"/>
        </w:rPr>
      </w:pPr>
      <w:r>
        <w:rPr>
          <w:rFonts w:ascii="Arial" w:hAnsi="Arial" w:cs="Arial"/>
        </w:rPr>
        <w:t xml:space="preserve">The only motions exempt from the meet and confer requirement are Motions for Injunctive Relief Without Notice; Motions for Summary Judgment and Motions to Amend to Add Punitive Damages.  </w:t>
      </w:r>
      <w:r>
        <w:rPr>
          <w:rFonts w:ascii="Arial" w:hAnsi="Arial" w:cs="Arial"/>
          <w:b/>
        </w:rPr>
        <w:t>ANY OTHER MOTION</w:t>
      </w:r>
      <w:r>
        <w:rPr>
          <w:rFonts w:ascii="Arial" w:hAnsi="Arial" w:cs="Arial"/>
        </w:rPr>
        <w:t xml:space="preserve"> submitted without a certificate of conferral will be rejected by the Court without prejudice.</w:t>
      </w:r>
    </w:p>
    <w:p w:rsidR="00253288" w:rsidRDefault="00253288" w:rsidP="00253288">
      <w:pPr>
        <w:spacing w:line="480" w:lineRule="auto"/>
        <w:jc w:val="both"/>
        <w:rPr>
          <w:rFonts w:ascii="Arial" w:hAnsi="Arial" w:cs="Arial"/>
        </w:rPr>
      </w:pPr>
      <w:r>
        <w:rPr>
          <w:rFonts w:ascii="Arial" w:hAnsi="Arial" w:cs="Arial"/>
        </w:rPr>
        <w:tab/>
      </w:r>
      <w:r>
        <w:rPr>
          <w:rFonts w:ascii="Arial" w:hAnsi="Arial" w:cs="Arial"/>
          <w:b/>
        </w:rPr>
        <w:t>DONE</w:t>
      </w:r>
      <w:r>
        <w:rPr>
          <w:rFonts w:ascii="Arial" w:hAnsi="Arial" w:cs="Arial"/>
        </w:rPr>
        <w:t xml:space="preserve"> and </w:t>
      </w:r>
      <w:r>
        <w:rPr>
          <w:rFonts w:ascii="Arial" w:hAnsi="Arial" w:cs="Arial"/>
          <w:b/>
        </w:rPr>
        <w:t>ORDERED</w:t>
      </w:r>
      <w:r>
        <w:rPr>
          <w:rFonts w:ascii="Arial" w:hAnsi="Arial" w:cs="Arial"/>
        </w:rPr>
        <w:t xml:space="preserve"> in Chambers at Miami, Miami-Dade County, Florida, on this </w:t>
      </w:r>
      <w:r>
        <w:rPr>
          <w:rFonts w:ascii="Arial" w:hAnsi="Arial" w:cs="Arial"/>
        </w:rPr>
        <w:t>6</w:t>
      </w:r>
      <w:r>
        <w:rPr>
          <w:rFonts w:ascii="Arial" w:hAnsi="Arial" w:cs="Arial"/>
        </w:rPr>
        <w:t xml:space="preserve">th day of </w:t>
      </w:r>
      <w:proofErr w:type="gramStart"/>
      <w:r>
        <w:rPr>
          <w:rFonts w:ascii="Arial" w:hAnsi="Arial" w:cs="Arial"/>
        </w:rPr>
        <w:t>January,</w:t>
      </w:r>
      <w:proofErr w:type="gramEnd"/>
      <w:r>
        <w:rPr>
          <w:rFonts w:ascii="Arial" w:hAnsi="Arial" w:cs="Arial"/>
        </w:rPr>
        <w:t xml:space="preserve"> 2020.</w:t>
      </w:r>
    </w:p>
    <w:p w:rsidR="00253288" w:rsidRPr="00253288" w:rsidRDefault="00253288" w:rsidP="00253288">
      <w:pPr>
        <w:spacing w:after="0" w:line="240" w:lineRule="auto"/>
        <w:ind w:firstLine="2160"/>
        <w:jc w:val="both"/>
        <w:rPr>
          <w:rFonts w:ascii="Arial" w:hAnsi="Arial" w:cs="Arial"/>
        </w:rPr>
      </w:pPr>
      <w:r>
        <w:tab/>
      </w:r>
      <w:r>
        <w:tab/>
      </w:r>
      <w:r>
        <w:tab/>
      </w:r>
      <w:r>
        <w:tab/>
      </w:r>
      <w:r w:rsidRPr="00253288">
        <w:rPr>
          <w:b/>
          <w:sz w:val="28"/>
          <w:szCs w:val="28"/>
        </w:rPr>
        <w:t>JUDGE WILLIAM L. THOMAS</w:t>
      </w:r>
    </w:p>
    <w:p w:rsidR="00253288" w:rsidRDefault="00253288" w:rsidP="00253288">
      <w:pPr>
        <w:spacing w:after="0" w:line="240" w:lineRule="auto"/>
        <w:ind w:left="2880" w:firstLine="2160"/>
        <w:jc w:val="both"/>
        <w:rPr>
          <w:rFonts w:ascii="Arial" w:hAnsi="Arial" w:cs="Arial"/>
        </w:rPr>
      </w:pPr>
      <w:r>
        <w:rPr>
          <w:rFonts w:ascii="Arial" w:hAnsi="Arial" w:cs="Arial"/>
        </w:rPr>
        <w:t>CIRCUIT COURT JUDGE</w:t>
      </w:r>
    </w:p>
    <w:p w:rsidR="00253288" w:rsidRDefault="00253288"/>
    <w:sectPr w:rsidR="002532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6B5A22"/>
    <w:multiLevelType w:val="hybridMultilevel"/>
    <w:tmpl w:val="C6DA1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3288"/>
    <w:rsid w:val="002532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9DFB8BB"/>
  <w15:chartTrackingRefBased/>
  <w15:docId w15:val="{75FD0F97-4EDE-4AC5-9F5A-3DA967123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53288"/>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5429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271</Words>
  <Characters>1551</Characters>
  <Application>Microsoft Office Word</Application>
  <DocSecurity>0</DocSecurity>
  <Lines>12</Lines>
  <Paragraphs>3</Paragraphs>
  <ScaleCrop>false</ScaleCrop>
  <Company/>
  <LinksUpToDate>false</LinksUpToDate>
  <CharactersWithSpaces>1819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Diaz, Andrew</dc:creator>
  <cp:keywords/>
  <dc:description/>
  <cp:lastModifiedBy>Diaz, Andrew</cp:lastModifiedBy>
  <cp:revision>1</cp:revision>
  <dcterms:created xsi:type="dcterms:W3CDTF">2020-01-07T18:08:00Z</dcterms:created>
  <dcterms:modified xsi:type="dcterms:W3CDTF">2020-01-07T18:10:00Z</dcterms:modified>
</cp:coreProperties>
</file>