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9360"/>
      </w:tblGrid>
      <w:tr w:rsidR="00D113B9" w:rsidTr="00D113B9">
        <w:tc>
          <w:tcPr>
            <w:tcW w:w="9576" w:type="dxa"/>
            <w:hideMark/>
          </w:tcPr>
          <w:p w:rsidR="00D113B9" w:rsidRDefault="00D113B9">
            <w:pPr>
              <w:spacing w:after="0" w:line="240" w:lineRule="auto"/>
              <w:rPr>
                <w:rFonts w:ascii="Times New Roman" w:hAnsi="Times New Roman"/>
                <w:b/>
              </w:rPr>
            </w:pPr>
            <w:r>
              <w:rPr>
                <w:rFonts w:ascii="Times New Roman" w:hAnsi="Times New Roman"/>
                <w:b/>
              </w:rPr>
              <w:t xml:space="preserve">IN THE CIRCUIT COURT OF THE ELEVENTH JUDICIAL CIRCUIT </w:t>
            </w:r>
          </w:p>
          <w:p w:rsidR="00D113B9" w:rsidRDefault="00D113B9">
            <w:pPr>
              <w:spacing w:after="0" w:line="240" w:lineRule="auto"/>
              <w:rPr>
                <w:rFonts w:ascii="Times New Roman" w:hAnsi="Times New Roman"/>
              </w:rPr>
            </w:pPr>
            <w:r>
              <w:rPr>
                <w:rFonts w:ascii="Times New Roman" w:hAnsi="Times New Roman"/>
                <w:b/>
              </w:rPr>
              <w:t>IN AND FOR MIAMI-DADE COUNTY, FLORIDA</w:t>
            </w:r>
          </w:p>
        </w:tc>
      </w:tr>
      <w:tr w:rsidR="00D113B9" w:rsidTr="00D113B9">
        <w:trPr>
          <w:trHeight w:val="260"/>
        </w:trPr>
        <w:tc>
          <w:tcPr>
            <w:tcW w:w="9576" w:type="dxa"/>
          </w:tcPr>
          <w:p w:rsidR="00D113B9" w:rsidRDefault="00D113B9">
            <w:pPr>
              <w:autoSpaceDE w:val="0"/>
              <w:autoSpaceDN w:val="0"/>
              <w:adjustRightInd w:val="0"/>
              <w:spacing w:after="0" w:line="240" w:lineRule="auto"/>
              <w:rPr>
                <w:rFonts w:ascii="Times New Roman" w:eastAsia="Times New Roman" w:hAnsi="Times New Roman"/>
                <w:b/>
                <w:bCs/>
              </w:rPr>
            </w:pPr>
          </w:p>
        </w:tc>
      </w:tr>
      <w:tr w:rsidR="00D113B9" w:rsidTr="00D113B9">
        <w:tc>
          <w:tcPr>
            <w:tcW w:w="9576" w:type="dxa"/>
          </w:tcPr>
          <w:p w:rsidR="00D113B9" w:rsidRDefault="00D113B9">
            <w:pPr>
              <w:tabs>
                <w:tab w:val="left" w:pos="-1440"/>
              </w:tabs>
              <w:autoSpaceDE w:val="0"/>
              <w:autoSpaceDN w:val="0"/>
              <w:adjustRightInd w:val="0"/>
              <w:spacing w:after="0" w:line="240" w:lineRule="auto"/>
              <w:rPr>
                <w:rFonts w:ascii="Times New Roman" w:eastAsia="Times New Roman" w:hAnsi="Times New Roman"/>
                <w:b/>
              </w:rPr>
            </w:pPr>
            <w:r>
              <w:rPr>
                <w:rFonts w:ascii="Times New Roman" w:eastAsia="Times New Roman" w:hAnsi="Times New Roman"/>
                <w:b/>
              </w:rPr>
              <w:t xml:space="preserve">CIRCUIT CIVIL DIVISION </w:t>
            </w:r>
          </w:p>
          <w:p w:rsidR="00D113B9" w:rsidRDefault="00D113B9">
            <w:pPr>
              <w:spacing w:after="0" w:line="240" w:lineRule="auto"/>
              <w:rPr>
                <w:rFonts w:ascii="Times New Roman" w:eastAsia="Calibri" w:hAnsi="Times New Roman"/>
              </w:rPr>
            </w:pPr>
          </w:p>
        </w:tc>
      </w:tr>
      <w:tr w:rsidR="00D113B9" w:rsidTr="00D113B9">
        <w:tc>
          <w:tcPr>
            <w:tcW w:w="9576" w:type="dxa"/>
          </w:tcPr>
          <w:p w:rsidR="00D113B9" w:rsidRDefault="00D113B9">
            <w:pPr>
              <w:tabs>
                <w:tab w:val="left" w:pos="-1440"/>
              </w:tabs>
              <w:autoSpaceDE w:val="0"/>
              <w:autoSpaceDN w:val="0"/>
              <w:adjustRightInd w:val="0"/>
              <w:spacing w:after="0" w:line="240" w:lineRule="auto"/>
              <w:rPr>
                <w:rFonts w:ascii="Times New Roman" w:eastAsia="Times New Roman" w:hAnsi="Times New Roman"/>
              </w:rPr>
            </w:pPr>
            <w:r>
              <w:rPr>
                <w:rFonts w:ascii="Times New Roman" w:eastAsia="Times New Roman" w:hAnsi="Times New Roman"/>
                <w:b/>
              </w:rPr>
              <w:t>CASE NO.</w:t>
            </w:r>
            <w:r>
              <w:rPr>
                <w:rFonts w:ascii="Times New Roman" w:eastAsia="Times New Roman" w:hAnsi="Times New Roman"/>
              </w:rPr>
              <w:t xml:space="preserve">: </w:t>
            </w:r>
          </w:p>
          <w:p w:rsidR="00D113B9" w:rsidRDefault="00D113B9">
            <w:pPr>
              <w:tabs>
                <w:tab w:val="left" w:pos="-1440"/>
              </w:tabs>
              <w:autoSpaceDE w:val="0"/>
              <w:autoSpaceDN w:val="0"/>
              <w:adjustRightInd w:val="0"/>
              <w:spacing w:after="0" w:line="240" w:lineRule="auto"/>
              <w:rPr>
                <w:rFonts w:ascii="Times New Roman" w:eastAsia="Times New Roman" w:hAnsi="Times New Roman"/>
              </w:rPr>
            </w:pPr>
            <w:r>
              <w:rPr>
                <w:rFonts w:ascii="Times New Roman" w:eastAsia="Times New Roman" w:hAnsi="Times New Roman"/>
                <w:b/>
              </w:rPr>
              <w:t>Section</w:t>
            </w:r>
            <w:r>
              <w:rPr>
                <w:rFonts w:ascii="Times New Roman" w:eastAsia="Times New Roman" w:hAnsi="Times New Roman"/>
              </w:rPr>
              <w:t xml:space="preserve">: CA 44 </w:t>
            </w:r>
          </w:p>
          <w:p w:rsidR="00D113B9" w:rsidRDefault="00D113B9">
            <w:pPr>
              <w:spacing w:after="0" w:line="240" w:lineRule="auto"/>
              <w:rPr>
                <w:rFonts w:ascii="Times New Roman" w:eastAsia="Calibri" w:hAnsi="Times New Roman"/>
              </w:rPr>
            </w:pPr>
          </w:p>
        </w:tc>
      </w:tr>
      <w:tr w:rsidR="00D113B9" w:rsidTr="00D113B9">
        <w:tc>
          <w:tcPr>
            <w:tcW w:w="9576" w:type="dxa"/>
            <w:hideMark/>
          </w:tcPr>
          <w:p w:rsidR="00D113B9" w:rsidRDefault="00D113B9">
            <w:pPr>
              <w:rPr>
                <w:rFonts w:ascii="Times New Roman" w:eastAsia="Calibri" w:hAnsi="Times New Roman"/>
              </w:rPr>
            </w:pPr>
          </w:p>
        </w:tc>
      </w:tr>
      <w:tr w:rsidR="00D113B9" w:rsidTr="00D113B9">
        <w:tc>
          <w:tcPr>
            <w:tcW w:w="9576" w:type="dxa"/>
          </w:tcPr>
          <w:p w:rsidR="00D113B9" w:rsidRDefault="00D113B9">
            <w:pPr>
              <w:spacing w:after="0" w:line="240" w:lineRule="auto"/>
              <w:rPr>
                <w:rFonts w:ascii="Arial" w:hAnsi="Arial" w:cs="Arial"/>
              </w:rPr>
            </w:pPr>
          </w:p>
          <w:p w:rsidR="00D113B9" w:rsidRDefault="00D113B9">
            <w:pPr>
              <w:spacing w:after="0" w:line="240" w:lineRule="auto"/>
              <w:rPr>
                <w:rFonts w:ascii="Times New Roman" w:eastAsia="Calibri" w:hAnsi="Times New Roman"/>
              </w:rPr>
            </w:pPr>
            <w:r>
              <w:rPr>
                <w:rFonts w:ascii="Times New Roman" w:hAnsi="Times New Roman"/>
              </w:rPr>
              <w:t xml:space="preserve">           </w:t>
            </w:r>
            <w:r>
              <w:rPr>
                <w:rFonts w:ascii="Times New Roman" w:hAnsi="Times New Roman"/>
                <w:b/>
              </w:rPr>
              <w:t>Plaintiff</w:t>
            </w:r>
            <w:r>
              <w:rPr>
                <w:rFonts w:ascii="Times New Roman" w:hAnsi="Times New Roman"/>
              </w:rPr>
              <w:t>,</w:t>
            </w:r>
          </w:p>
        </w:tc>
      </w:tr>
      <w:tr w:rsidR="00D113B9" w:rsidTr="00D113B9">
        <w:tc>
          <w:tcPr>
            <w:tcW w:w="9576" w:type="dxa"/>
          </w:tcPr>
          <w:p w:rsidR="00D113B9" w:rsidRDefault="00D113B9">
            <w:pPr>
              <w:spacing w:after="0" w:line="240" w:lineRule="auto"/>
              <w:rPr>
                <w:rFonts w:ascii="Times New Roman" w:hAnsi="Times New Roman"/>
              </w:rPr>
            </w:pPr>
          </w:p>
          <w:p w:rsidR="00D113B9" w:rsidRDefault="00D113B9">
            <w:pPr>
              <w:spacing w:after="0" w:line="240" w:lineRule="auto"/>
              <w:rPr>
                <w:rFonts w:ascii="Times New Roman" w:hAnsi="Times New Roman"/>
              </w:rPr>
            </w:pPr>
            <w:r>
              <w:rPr>
                <w:rFonts w:ascii="Times New Roman" w:hAnsi="Times New Roman"/>
              </w:rPr>
              <w:t>vs.</w:t>
            </w:r>
          </w:p>
        </w:tc>
      </w:tr>
      <w:tr w:rsidR="00D113B9" w:rsidTr="00D113B9">
        <w:tc>
          <w:tcPr>
            <w:tcW w:w="9576" w:type="dxa"/>
          </w:tcPr>
          <w:p w:rsidR="00D113B9" w:rsidRDefault="00D113B9">
            <w:pPr>
              <w:autoSpaceDE w:val="0"/>
              <w:autoSpaceDN w:val="0"/>
              <w:adjustRightInd w:val="0"/>
              <w:spacing w:after="0" w:line="240" w:lineRule="auto"/>
              <w:ind w:firstLine="720"/>
              <w:rPr>
                <w:rFonts w:ascii="Times New Roman" w:eastAsia="Times New Roman" w:hAnsi="Times New Roman"/>
                <w:b/>
              </w:rPr>
            </w:pPr>
          </w:p>
          <w:p w:rsidR="00D113B9" w:rsidRDefault="00D113B9">
            <w:pPr>
              <w:autoSpaceDE w:val="0"/>
              <w:autoSpaceDN w:val="0"/>
              <w:adjustRightInd w:val="0"/>
              <w:spacing w:after="0" w:line="240" w:lineRule="auto"/>
              <w:ind w:firstLine="720"/>
              <w:rPr>
                <w:rFonts w:ascii="Times New Roman" w:eastAsia="Times New Roman" w:hAnsi="Times New Roman"/>
              </w:rPr>
            </w:pPr>
            <w:r>
              <w:rPr>
                <w:rFonts w:ascii="Times New Roman" w:eastAsia="Times New Roman" w:hAnsi="Times New Roman"/>
                <w:b/>
              </w:rPr>
              <w:t>Defendant</w:t>
            </w:r>
            <w:r>
              <w:rPr>
                <w:rFonts w:ascii="Times New Roman" w:eastAsia="Times New Roman" w:hAnsi="Times New Roman"/>
              </w:rPr>
              <w:t>.</w:t>
            </w:r>
          </w:p>
        </w:tc>
      </w:tr>
      <w:tr w:rsidR="00D113B9" w:rsidTr="00D113B9">
        <w:trPr>
          <w:trHeight w:val="80"/>
        </w:trPr>
        <w:tc>
          <w:tcPr>
            <w:tcW w:w="9576" w:type="dxa"/>
            <w:hideMark/>
          </w:tcPr>
          <w:p w:rsidR="00D113B9" w:rsidRDefault="00D113B9">
            <w:pPr>
              <w:spacing w:after="0" w:line="240" w:lineRule="auto"/>
              <w:rPr>
                <w:rFonts w:ascii="Times New Roman" w:eastAsia="Calibri" w:hAnsi="Times New Roman"/>
              </w:rPr>
            </w:pPr>
            <w:r>
              <w:rPr>
                <w:rFonts w:ascii="Times New Roman" w:hAnsi="Times New Roman"/>
                <w:u w:val="single"/>
              </w:rPr>
              <w:t xml:space="preserve">                                                                          </w:t>
            </w:r>
            <w:r>
              <w:rPr>
                <w:rFonts w:ascii="Times New Roman" w:hAnsi="Times New Roman"/>
              </w:rPr>
              <w:t>/</w:t>
            </w:r>
          </w:p>
        </w:tc>
      </w:tr>
    </w:tbl>
    <w:p w:rsidR="00D113B9" w:rsidRDefault="00D113B9" w:rsidP="00D113B9">
      <w:pPr>
        <w:spacing w:line="480" w:lineRule="auto"/>
        <w:jc w:val="both"/>
        <w:rPr>
          <w:rFonts w:ascii="Arial" w:hAnsi="Arial" w:cs="Arial"/>
          <w:b/>
          <w:u w:val="single"/>
        </w:rPr>
      </w:pPr>
    </w:p>
    <w:p w:rsidR="00D113B9" w:rsidRDefault="00D113B9" w:rsidP="00D113B9">
      <w:pPr>
        <w:spacing w:line="480" w:lineRule="auto"/>
        <w:jc w:val="center"/>
        <w:rPr>
          <w:rFonts w:ascii="Arial" w:hAnsi="Arial" w:cs="Arial"/>
          <w:b/>
          <w:u w:val="single"/>
        </w:rPr>
      </w:pPr>
      <w:r>
        <w:rPr>
          <w:rFonts w:ascii="Arial" w:hAnsi="Arial" w:cs="Arial"/>
          <w:b/>
          <w:u w:val="single"/>
        </w:rPr>
        <w:t>ORDER ON MOTIONS AND MEMO REQUIREMENTS</w:t>
      </w:r>
    </w:p>
    <w:p w:rsidR="00D113B9" w:rsidRDefault="00D113B9" w:rsidP="00D113B9">
      <w:pPr>
        <w:spacing w:line="480" w:lineRule="auto"/>
        <w:jc w:val="both"/>
        <w:rPr>
          <w:rFonts w:ascii="Arial" w:hAnsi="Arial" w:cs="Arial"/>
        </w:rPr>
      </w:pPr>
      <w:r>
        <w:rPr>
          <w:rFonts w:ascii="Arial" w:hAnsi="Arial" w:cs="Arial"/>
        </w:rPr>
        <w:tab/>
      </w:r>
      <w:r>
        <w:rPr>
          <w:rFonts w:ascii="Arial" w:hAnsi="Arial" w:cs="Arial"/>
          <w:b/>
        </w:rPr>
        <w:t xml:space="preserve">This case is pending in the Complex Business Litigation division, and must follow the Complex Business Litigation rules.  In addition, </w:t>
      </w:r>
      <w:r>
        <w:rPr>
          <w:rFonts w:ascii="Arial" w:hAnsi="Arial" w:cs="Arial"/>
        </w:rPr>
        <w:t>it is</w:t>
      </w:r>
    </w:p>
    <w:p w:rsidR="00D113B9" w:rsidRDefault="00D113B9" w:rsidP="00D113B9">
      <w:pPr>
        <w:spacing w:line="480" w:lineRule="auto"/>
        <w:jc w:val="both"/>
        <w:rPr>
          <w:rFonts w:ascii="Arial" w:hAnsi="Arial" w:cs="Arial"/>
        </w:rPr>
      </w:pPr>
      <w:r>
        <w:rPr>
          <w:rFonts w:ascii="Arial" w:hAnsi="Arial" w:cs="Arial"/>
        </w:rPr>
        <w:tab/>
      </w:r>
      <w:r>
        <w:rPr>
          <w:rFonts w:ascii="Arial" w:hAnsi="Arial" w:cs="Arial"/>
          <w:b/>
        </w:rPr>
        <w:t>ORDERED</w:t>
      </w:r>
      <w:r>
        <w:rPr>
          <w:rFonts w:ascii="Arial" w:hAnsi="Arial" w:cs="Arial"/>
        </w:rPr>
        <w:t xml:space="preserve"> and </w:t>
      </w:r>
      <w:r>
        <w:rPr>
          <w:rFonts w:ascii="Arial" w:hAnsi="Arial" w:cs="Arial"/>
          <w:b/>
        </w:rPr>
        <w:t>ADJUDGED</w:t>
      </w:r>
      <w:r>
        <w:rPr>
          <w:rFonts w:ascii="Arial" w:hAnsi="Arial" w:cs="Arial"/>
        </w:rPr>
        <w:t xml:space="preserve"> as follows:</w:t>
      </w:r>
    </w:p>
    <w:p w:rsidR="00D113B9" w:rsidRDefault="00D113B9" w:rsidP="00D113B9">
      <w:pPr>
        <w:spacing w:line="480" w:lineRule="auto"/>
        <w:jc w:val="center"/>
        <w:rPr>
          <w:rFonts w:ascii="Arial" w:hAnsi="Arial" w:cs="Arial"/>
          <w:b/>
          <w:u w:val="single"/>
        </w:rPr>
      </w:pPr>
      <w:r>
        <w:rPr>
          <w:rFonts w:ascii="Arial" w:hAnsi="Arial" w:cs="Arial"/>
          <w:b/>
          <w:u w:val="single"/>
        </w:rPr>
        <w:t>Short Motions</w:t>
      </w:r>
    </w:p>
    <w:p w:rsidR="00D113B9" w:rsidRDefault="00D113B9" w:rsidP="00D113B9">
      <w:pPr>
        <w:spacing w:line="480" w:lineRule="auto"/>
        <w:jc w:val="both"/>
        <w:rPr>
          <w:rFonts w:ascii="Arial" w:hAnsi="Arial" w:cs="Arial"/>
          <w:bCs/>
          <w:color w:val="000000"/>
        </w:rPr>
      </w:pPr>
      <w:r>
        <w:rPr>
          <w:rFonts w:ascii="Arial" w:hAnsi="Arial" w:cs="Arial"/>
        </w:rPr>
        <w:tab/>
      </w:r>
      <w:r>
        <w:rPr>
          <w:rFonts w:ascii="Arial" w:hAnsi="Arial" w:cs="Arial"/>
          <w:bCs/>
          <w:color w:val="000000"/>
        </w:rPr>
        <w:t xml:space="preserve">As a general rule, ten-minute Motion Calendar motions do not require memoranda of law. Copies of motions and any response shall be submitted through CourtMap in accordance with the Court’s motion calendar procedures posted on its website. </w:t>
      </w:r>
    </w:p>
    <w:p w:rsidR="00D113B9" w:rsidRDefault="00D113B9" w:rsidP="00D113B9">
      <w:pPr>
        <w:spacing w:line="480" w:lineRule="auto"/>
        <w:jc w:val="center"/>
        <w:rPr>
          <w:rFonts w:ascii="Arial" w:hAnsi="Arial" w:cs="Arial"/>
          <w:b/>
          <w:bCs/>
          <w:color w:val="000000"/>
          <w:u w:val="single"/>
        </w:rPr>
      </w:pPr>
      <w:r>
        <w:rPr>
          <w:rFonts w:ascii="Arial" w:hAnsi="Arial" w:cs="Arial"/>
          <w:b/>
          <w:bCs/>
          <w:color w:val="000000"/>
          <w:u w:val="single"/>
        </w:rPr>
        <w:t>Motions Requesting a Special Set Hearing</w:t>
      </w:r>
    </w:p>
    <w:p w:rsidR="00D113B9" w:rsidRDefault="00D113B9" w:rsidP="00D113B9">
      <w:pPr>
        <w:spacing w:line="480" w:lineRule="auto"/>
        <w:ind w:firstLine="682"/>
        <w:jc w:val="both"/>
        <w:rPr>
          <w:rFonts w:ascii="Arial" w:hAnsi="Arial" w:cs="Arial"/>
        </w:rPr>
      </w:pPr>
      <w:r>
        <w:rPr>
          <w:rFonts w:ascii="Arial" w:hAnsi="Arial" w:cs="Arial"/>
          <w:bCs/>
          <w:color w:val="000000"/>
        </w:rPr>
        <w:t xml:space="preserve">Hearings must be requested using CourtMap which is available on the judge’s webpage.  Motions may be scheduled or ruled upon without a hearing, in the court’s discretion.  </w:t>
      </w:r>
    </w:p>
    <w:p w:rsidR="00D113B9" w:rsidRDefault="00D113B9" w:rsidP="00D113B9">
      <w:pPr>
        <w:spacing w:line="480" w:lineRule="auto"/>
        <w:ind w:firstLine="682"/>
        <w:jc w:val="both"/>
        <w:rPr>
          <w:rFonts w:ascii="Arial" w:hAnsi="Arial" w:cs="Arial"/>
        </w:rPr>
      </w:pPr>
      <w:r>
        <w:rPr>
          <w:rFonts w:ascii="Arial" w:hAnsi="Arial" w:cs="Arial"/>
          <w:b/>
          <w:color w:val="000000"/>
        </w:rPr>
        <w:t>Content of motions</w:t>
      </w:r>
      <w:r>
        <w:rPr>
          <w:rFonts w:ascii="Arial" w:hAnsi="Arial" w:cs="Arial"/>
          <w:color w:val="000000"/>
        </w:rPr>
        <w:t xml:space="preserve"> shall state with particularity the grounds therefore, citing any statute or rule of procedure relied upon; shall set forth the relief sought and shall include the required </w:t>
      </w:r>
      <w:r>
        <w:rPr>
          <w:rFonts w:ascii="Arial" w:hAnsi="Arial" w:cs="Arial"/>
          <w:color w:val="000000"/>
        </w:rPr>
        <w:lastRenderedPageBreak/>
        <w:t xml:space="preserve">certification of conferral.  The Court will not consider issues at a hearing on the motion that were not addressed in the motion and memoranda in support of and in opposition to the motion. </w:t>
      </w:r>
    </w:p>
    <w:p w:rsidR="00D113B9" w:rsidRDefault="00D113B9" w:rsidP="00D113B9">
      <w:pPr>
        <w:shd w:val="clear" w:color="auto" w:fill="FFFFFF"/>
        <w:spacing w:line="552" w:lineRule="exact"/>
        <w:ind w:firstLine="682"/>
        <w:jc w:val="center"/>
        <w:rPr>
          <w:rFonts w:ascii="Arial" w:hAnsi="Arial" w:cs="Arial"/>
          <w:b/>
          <w:color w:val="000000"/>
          <w:u w:val="single"/>
        </w:rPr>
      </w:pPr>
      <w:r>
        <w:rPr>
          <w:rFonts w:ascii="Arial" w:hAnsi="Arial" w:cs="Arial"/>
          <w:b/>
          <w:color w:val="000000"/>
          <w:u w:val="single"/>
        </w:rPr>
        <w:t>Memoranda Requirements</w:t>
      </w:r>
    </w:p>
    <w:p w:rsidR="00D113B9" w:rsidRDefault="00D113B9" w:rsidP="00D113B9">
      <w:pPr>
        <w:shd w:val="clear" w:color="auto" w:fill="FFFFFF"/>
        <w:spacing w:line="552" w:lineRule="exact"/>
        <w:ind w:firstLine="682"/>
        <w:jc w:val="both"/>
        <w:rPr>
          <w:rFonts w:ascii="Arial" w:hAnsi="Arial" w:cs="Arial"/>
          <w:b/>
          <w:bCs/>
          <w:color w:val="000000"/>
        </w:rPr>
      </w:pPr>
      <w:r>
        <w:rPr>
          <w:rFonts w:ascii="Arial" w:hAnsi="Arial" w:cs="Arial"/>
          <w:b/>
          <w:color w:val="000000"/>
          <w:u w:val="single"/>
        </w:rPr>
        <w:t>These requirements and deadlines may not be waived or altered except by court order.</w:t>
      </w:r>
      <w:r>
        <w:rPr>
          <w:rFonts w:ascii="Arial" w:hAnsi="Arial" w:cs="Arial"/>
          <w:b/>
          <w:bCs/>
          <w:color w:val="000000"/>
        </w:rPr>
        <w:t xml:space="preserve"> </w:t>
      </w:r>
    </w:p>
    <w:p w:rsidR="00D113B9" w:rsidRDefault="00D113B9" w:rsidP="00D113B9">
      <w:pPr>
        <w:shd w:val="clear" w:color="auto" w:fill="FFFFFF"/>
        <w:spacing w:line="552" w:lineRule="exact"/>
        <w:ind w:firstLine="682"/>
        <w:jc w:val="both"/>
        <w:rPr>
          <w:rFonts w:ascii="Arial" w:hAnsi="Arial" w:cs="Arial"/>
          <w:b/>
          <w:bCs/>
          <w:color w:val="000000"/>
          <w:u w:val="single"/>
        </w:rPr>
      </w:pPr>
      <w:r>
        <w:rPr>
          <w:rFonts w:ascii="Arial" w:hAnsi="Arial" w:cs="Arial"/>
          <w:b/>
          <w:bCs/>
          <w:color w:val="000000"/>
          <w:u w:val="single"/>
        </w:rPr>
        <w:t>ALL motions, opposition to motions and replies are REQUIRED to be emailed in WORD FORMAT to CBL44DOCS@jud11.flcourts.org</w:t>
      </w:r>
    </w:p>
    <w:p w:rsidR="00D113B9" w:rsidRDefault="00D113B9" w:rsidP="00D113B9">
      <w:pPr>
        <w:shd w:val="clear" w:color="auto" w:fill="FFFFFF"/>
        <w:spacing w:line="552" w:lineRule="exact"/>
        <w:ind w:firstLine="682"/>
        <w:jc w:val="both"/>
        <w:rPr>
          <w:rFonts w:ascii="Arial" w:hAnsi="Arial" w:cs="Arial"/>
          <w:b/>
          <w:color w:val="000000"/>
        </w:rPr>
      </w:pPr>
      <w:r>
        <w:rPr>
          <w:rFonts w:ascii="Arial" w:hAnsi="Arial" w:cs="Arial"/>
          <w:b/>
          <w:bCs/>
          <w:color w:val="000000"/>
        </w:rPr>
        <w:t xml:space="preserve">Failure to File and Serve Motion Materials: </w:t>
      </w:r>
      <w:r>
        <w:rPr>
          <w:rFonts w:ascii="Arial" w:hAnsi="Arial" w:cs="Arial"/>
          <w:bCs/>
          <w:color w:val="000000"/>
        </w:rPr>
        <w:t>CBL 4.4</w:t>
      </w:r>
      <w:r>
        <w:rPr>
          <w:rFonts w:ascii="Arial" w:hAnsi="Arial" w:cs="Arial"/>
          <w:b/>
          <w:bCs/>
          <w:color w:val="000000"/>
        </w:rPr>
        <w:t xml:space="preserve">   </w:t>
      </w:r>
      <w:r>
        <w:rPr>
          <w:rFonts w:ascii="Arial" w:hAnsi="Arial" w:cs="Arial"/>
          <w:color w:val="000000"/>
        </w:rPr>
        <w:t xml:space="preserve">A motion or opposition unaccompanied by a required memorandum may be summarily rejected or denied.   Failure to timely file a memorandum in opposition to a motion may result in the pending motion being considered and decided as an uncontested motion. </w:t>
      </w:r>
      <w:r>
        <w:rPr>
          <w:rFonts w:ascii="Arial" w:hAnsi="Arial" w:cs="Arial"/>
          <w:b/>
          <w:color w:val="000000"/>
        </w:rPr>
        <w:t xml:space="preserve">  Motion briefing deadlines are court orders.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881"/>
        <w:gridCol w:w="1842"/>
        <w:gridCol w:w="1871"/>
        <w:gridCol w:w="1882"/>
      </w:tblGrid>
      <w:tr w:rsidR="00D113B9" w:rsidTr="00D113B9">
        <w:trPr>
          <w:trHeight w:val="515"/>
        </w:trPr>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 xml:space="preserve">Motion </w:t>
            </w:r>
          </w:p>
        </w:tc>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Memoranda of law</w:t>
            </w:r>
          </w:p>
        </w:tc>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Page limit</w:t>
            </w:r>
          </w:p>
        </w:tc>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Time deadline</w:t>
            </w:r>
          </w:p>
        </w:tc>
        <w:tc>
          <w:tcPr>
            <w:tcW w:w="1914" w:type="dxa"/>
            <w:tcBorders>
              <w:top w:val="single" w:sz="4" w:space="0" w:color="auto"/>
              <w:left w:val="single" w:sz="4" w:space="0" w:color="auto"/>
              <w:bottom w:val="single" w:sz="4" w:space="0" w:color="auto"/>
              <w:right w:val="single" w:sz="4" w:space="0" w:color="auto"/>
            </w:tcBorders>
          </w:tcPr>
          <w:p w:rsidR="00D113B9" w:rsidRDefault="00D113B9">
            <w:pPr>
              <w:spacing w:after="0" w:line="240" w:lineRule="auto"/>
              <w:jc w:val="center"/>
              <w:rPr>
                <w:rFonts w:ascii="Arial" w:hAnsi="Arial" w:cs="Arial"/>
                <w:color w:val="000000"/>
              </w:rPr>
            </w:pPr>
          </w:p>
        </w:tc>
      </w:tr>
      <w:tr w:rsidR="00D113B9" w:rsidTr="00D113B9">
        <w:trPr>
          <w:trHeight w:val="1293"/>
        </w:trPr>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Motion filed by movant</w:t>
            </w:r>
          </w:p>
        </w:tc>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As required by CBL rules</w:t>
            </w:r>
          </w:p>
        </w:tc>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20</w:t>
            </w:r>
          </w:p>
        </w:tc>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When filing the motion</w:t>
            </w:r>
          </w:p>
        </w:tc>
        <w:tc>
          <w:tcPr>
            <w:tcW w:w="1914"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Memos which are not filed with the motion will be disregarded</w:t>
            </w:r>
          </w:p>
        </w:tc>
      </w:tr>
      <w:tr w:rsidR="00D113B9" w:rsidTr="00D113B9">
        <w:trPr>
          <w:trHeight w:val="1818"/>
        </w:trPr>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Opposition to motion</w:t>
            </w:r>
          </w:p>
        </w:tc>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At time of filing opposition, if needed</w:t>
            </w:r>
          </w:p>
        </w:tc>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20</w:t>
            </w:r>
          </w:p>
        </w:tc>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10 days after service of motion</w:t>
            </w:r>
          </w:p>
          <w:p w:rsidR="00D113B9" w:rsidRDefault="00D113B9">
            <w:pPr>
              <w:spacing w:after="0" w:line="240" w:lineRule="auto"/>
              <w:jc w:val="center"/>
              <w:rPr>
                <w:rFonts w:ascii="Arial" w:hAnsi="Arial" w:cs="Arial"/>
                <w:color w:val="000000"/>
              </w:rPr>
            </w:pPr>
            <w:r>
              <w:rPr>
                <w:rFonts w:ascii="Arial" w:hAnsi="Arial" w:cs="Arial"/>
                <w:color w:val="000000"/>
              </w:rPr>
              <w:t>as computed in Fla. R. Civ. P. 1.090</w:t>
            </w:r>
          </w:p>
        </w:tc>
        <w:tc>
          <w:tcPr>
            <w:tcW w:w="1914"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If no response is timely filed, the Court will proceed and may grant the motion as unopposed</w:t>
            </w:r>
          </w:p>
        </w:tc>
      </w:tr>
      <w:tr w:rsidR="00D113B9" w:rsidTr="00D113B9">
        <w:trPr>
          <w:trHeight w:val="1546"/>
        </w:trPr>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Reply</w:t>
            </w:r>
          </w:p>
        </w:tc>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If needed, limited to matters raised in the opposition</w:t>
            </w:r>
          </w:p>
        </w:tc>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10</w:t>
            </w:r>
          </w:p>
        </w:tc>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5 days after service of opposition</w:t>
            </w:r>
          </w:p>
          <w:p w:rsidR="00D113B9" w:rsidRDefault="00D113B9">
            <w:pPr>
              <w:spacing w:after="0" w:line="240" w:lineRule="auto"/>
              <w:jc w:val="center"/>
              <w:rPr>
                <w:rFonts w:ascii="Arial" w:hAnsi="Arial" w:cs="Arial"/>
                <w:color w:val="000000"/>
              </w:rPr>
            </w:pPr>
            <w:r>
              <w:rPr>
                <w:rFonts w:ascii="Arial" w:hAnsi="Arial" w:cs="Arial"/>
                <w:color w:val="000000"/>
              </w:rPr>
              <w:t>as computed in Fla. R. Civ. P. 1.090</w:t>
            </w:r>
          </w:p>
        </w:tc>
        <w:tc>
          <w:tcPr>
            <w:tcW w:w="1914"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t>If no reply is timely filed, the Court will proceed</w:t>
            </w:r>
          </w:p>
        </w:tc>
      </w:tr>
      <w:tr w:rsidR="00D113B9" w:rsidTr="00D113B9">
        <w:trPr>
          <w:trHeight w:val="515"/>
        </w:trPr>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jc w:val="center"/>
              <w:rPr>
                <w:rFonts w:ascii="Arial" w:hAnsi="Arial" w:cs="Arial"/>
                <w:color w:val="000000"/>
              </w:rPr>
            </w:pPr>
            <w:r>
              <w:rPr>
                <w:rFonts w:ascii="Arial" w:hAnsi="Arial" w:cs="Arial"/>
                <w:color w:val="000000"/>
              </w:rPr>
              <w:lastRenderedPageBreak/>
              <w:t>Sur-reply</w:t>
            </w:r>
          </w:p>
        </w:tc>
        <w:tc>
          <w:tcPr>
            <w:tcW w:w="1913" w:type="dxa"/>
            <w:tcBorders>
              <w:top w:val="single" w:sz="4" w:space="0" w:color="auto"/>
              <w:left w:val="single" w:sz="4" w:space="0" w:color="auto"/>
              <w:bottom w:val="single" w:sz="4" w:space="0" w:color="auto"/>
              <w:right w:val="single" w:sz="4" w:space="0" w:color="auto"/>
            </w:tcBorders>
            <w:hideMark/>
          </w:tcPr>
          <w:p w:rsidR="00D113B9" w:rsidRDefault="00D113B9">
            <w:pPr>
              <w:spacing w:after="0" w:line="240" w:lineRule="auto"/>
              <w:rPr>
                <w:rFonts w:ascii="Arial" w:hAnsi="Arial" w:cs="Arial"/>
                <w:color w:val="000000"/>
              </w:rPr>
            </w:pPr>
            <w:r>
              <w:rPr>
                <w:rFonts w:ascii="Arial" w:hAnsi="Arial" w:cs="Arial"/>
                <w:color w:val="000000"/>
              </w:rPr>
              <w:t>With Court permission only</w:t>
            </w:r>
          </w:p>
        </w:tc>
        <w:tc>
          <w:tcPr>
            <w:tcW w:w="1913" w:type="dxa"/>
            <w:tcBorders>
              <w:top w:val="single" w:sz="4" w:space="0" w:color="auto"/>
              <w:left w:val="single" w:sz="4" w:space="0" w:color="auto"/>
              <w:bottom w:val="single" w:sz="4" w:space="0" w:color="auto"/>
              <w:right w:val="single" w:sz="4" w:space="0" w:color="auto"/>
            </w:tcBorders>
          </w:tcPr>
          <w:p w:rsidR="00D113B9" w:rsidRDefault="00D113B9">
            <w:pPr>
              <w:spacing w:after="0" w:line="240" w:lineRule="auto"/>
              <w:jc w:val="center"/>
              <w:rPr>
                <w:rFonts w:ascii="Arial" w:hAnsi="Arial" w:cs="Arial"/>
                <w:color w:val="000000"/>
              </w:rPr>
            </w:pPr>
          </w:p>
        </w:tc>
        <w:tc>
          <w:tcPr>
            <w:tcW w:w="1913" w:type="dxa"/>
            <w:tcBorders>
              <w:top w:val="single" w:sz="4" w:space="0" w:color="auto"/>
              <w:left w:val="single" w:sz="4" w:space="0" w:color="auto"/>
              <w:bottom w:val="single" w:sz="4" w:space="0" w:color="auto"/>
              <w:right w:val="single" w:sz="4" w:space="0" w:color="auto"/>
            </w:tcBorders>
          </w:tcPr>
          <w:p w:rsidR="00D113B9" w:rsidRDefault="00D113B9">
            <w:pPr>
              <w:spacing w:after="0" w:line="240" w:lineRule="auto"/>
              <w:jc w:val="center"/>
              <w:rPr>
                <w:rFonts w:ascii="Arial" w:hAnsi="Arial" w:cs="Arial"/>
                <w:color w:val="000000"/>
              </w:rPr>
            </w:pPr>
          </w:p>
        </w:tc>
        <w:tc>
          <w:tcPr>
            <w:tcW w:w="1914" w:type="dxa"/>
            <w:tcBorders>
              <w:top w:val="single" w:sz="4" w:space="0" w:color="auto"/>
              <w:left w:val="single" w:sz="4" w:space="0" w:color="auto"/>
              <w:bottom w:val="single" w:sz="4" w:space="0" w:color="auto"/>
              <w:right w:val="single" w:sz="4" w:space="0" w:color="auto"/>
            </w:tcBorders>
          </w:tcPr>
          <w:p w:rsidR="00D113B9" w:rsidRDefault="00D113B9">
            <w:pPr>
              <w:spacing w:after="0" w:line="240" w:lineRule="auto"/>
              <w:jc w:val="center"/>
              <w:rPr>
                <w:rFonts w:ascii="Arial" w:hAnsi="Arial" w:cs="Arial"/>
                <w:color w:val="000000"/>
              </w:rPr>
            </w:pPr>
          </w:p>
        </w:tc>
      </w:tr>
    </w:tbl>
    <w:p w:rsidR="00D113B9" w:rsidRDefault="00D113B9" w:rsidP="00D113B9">
      <w:pPr>
        <w:shd w:val="clear" w:color="auto" w:fill="FFFFFF"/>
        <w:spacing w:line="552" w:lineRule="exact"/>
        <w:ind w:firstLine="682"/>
        <w:jc w:val="both"/>
        <w:rPr>
          <w:rFonts w:ascii="Arial" w:hAnsi="Arial" w:cs="Arial"/>
          <w:b/>
          <w:color w:val="000000"/>
        </w:rPr>
      </w:pPr>
      <w:r>
        <w:rPr>
          <w:rFonts w:ascii="Arial" w:hAnsi="Arial" w:cs="Arial"/>
          <w:b/>
          <w:bCs/>
          <w:color w:val="000000"/>
        </w:rPr>
        <w:t>Motions Decided on Papers and Memoranda:</w:t>
      </w:r>
      <w:r>
        <w:rPr>
          <w:rFonts w:ascii="Arial" w:hAnsi="Arial" w:cs="Arial"/>
          <w:color w:val="000000"/>
        </w:rPr>
        <w:t xml:space="preserve"> Motions may be considered and decided by the Court without a hearing. CBL 4.5   </w:t>
      </w:r>
      <w:r>
        <w:rPr>
          <w:rFonts w:ascii="Arial" w:hAnsi="Arial" w:cs="Arial"/>
          <w:b/>
          <w:color w:val="000000"/>
        </w:rPr>
        <w:t xml:space="preserve">A hearing is at the discretion of the Court.  </w:t>
      </w:r>
    </w:p>
    <w:p w:rsidR="00D113B9" w:rsidRDefault="00D113B9" w:rsidP="00D113B9">
      <w:pPr>
        <w:shd w:val="clear" w:color="auto" w:fill="FFFFFF"/>
        <w:tabs>
          <w:tab w:val="center" w:pos="5021"/>
          <w:tab w:val="left" w:pos="8250"/>
        </w:tabs>
        <w:spacing w:line="552" w:lineRule="exact"/>
        <w:ind w:firstLine="682"/>
        <w:rPr>
          <w:rFonts w:ascii="Arial" w:hAnsi="Arial" w:cs="Arial"/>
          <w:b/>
          <w:color w:val="000000"/>
          <w:u w:val="single"/>
        </w:rPr>
      </w:pPr>
      <w:r>
        <w:rPr>
          <w:rFonts w:ascii="Arial" w:hAnsi="Arial" w:cs="Arial"/>
          <w:b/>
          <w:color w:val="000000"/>
        </w:rPr>
        <w:tab/>
      </w:r>
      <w:r>
        <w:rPr>
          <w:rFonts w:ascii="Arial" w:hAnsi="Arial" w:cs="Arial"/>
          <w:b/>
          <w:color w:val="000000"/>
          <w:u w:val="single"/>
        </w:rPr>
        <w:t>Sealed and Confidential Documents</w:t>
      </w:r>
    </w:p>
    <w:p w:rsidR="00D113B9" w:rsidRDefault="00D113B9" w:rsidP="00D113B9">
      <w:pPr>
        <w:shd w:val="clear" w:color="auto" w:fill="FFFFFF"/>
        <w:spacing w:line="552" w:lineRule="exact"/>
        <w:ind w:firstLine="682"/>
        <w:jc w:val="both"/>
        <w:rPr>
          <w:rFonts w:ascii="Arial" w:hAnsi="Arial" w:cs="Arial"/>
          <w:color w:val="000000"/>
        </w:rPr>
      </w:pPr>
      <w:r>
        <w:rPr>
          <w:rFonts w:ascii="Arial" w:hAnsi="Arial" w:cs="Arial"/>
          <w:color w:val="000000"/>
        </w:rPr>
        <w:t xml:space="preserve">Sealed or confidential documents should be e-filed pursuant to the instructions on the Clerk’s e-filing portal.  In Camera inspections shall be conducted as instructed by the Court.  </w:t>
      </w:r>
    </w:p>
    <w:p w:rsidR="00D113B9" w:rsidRDefault="00D113B9" w:rsidP="00D113B9">
      <w:pPr>
        <w:spacing w:line="480" w:lineRule="auto"/>
        <w:jc w:val="both"/>
        <w:rPr>
          <w:rFonts w:ascii="Arial" w:hAnsi="Arial" w:cs="Arial"/>
        </w:rPr>
      </w:pPr>
      <w:r>
        <w:rPr>
          <w:rFonts w:ascii="Arial" w:hAnsi="Arial" w:cs="Arial"/>
        </w:rPr>
        <w:tab/>
      </w:r>
      <w:r>
        <w:rPr>
          <w:rFonts w:ascii="Arial" w:hAnsi="Arial" w:cs="Arial"/>
          <w:b/>
        </w:rPr>
        <w:t>DONE</w:t>
      </w:r>
      <w:r>
        <w:rPr>
          <w:rFonts w:ascii="Arial" w:hAnsi="Arial" w:cs="Arial"/>
        </w:rPr>
        <w:t xml:space="preserve"> and </w:t>
      </w:r>
      <w:r>
        <w:rPr>
          <w:rFonts w:ascii="Arial" w:hAnsi="Arial" w:cs="Arial"/>
          <w:b/>
        </w:rPr>
        <w:t>ORDERED</w:t>
      </w:r>
      <w:r>
        <w:rPr>
          <w:rFonts w:ascii="Arial" w:hAnsi="Arial" w:cs="Arial"/>
        </w:rPr>
        <w:t xml:space="preserve"> in Chambers at Miami, Miami-Dade County, Florida, on this 6th day of January, 2020.</w:t>
      </w:r>
    </w:p>
    <w:p w:rsidR="00D113B9" w:rsidRDefault="00D113B9" w:rsidP="00D113B9">
      <w:pPr>
        <w:spacing w:after="0" w:line="240" w:lineRule="auto"/>
        <w:ind w:left="2880" w:firstLine="2160"/>
        <w:jc w:val="both"/>
        <w:rPr>
          <w:rFonts w:ascii="Arial" w:hAnsi="Arial" w:cs="Arial"/>
        </w:rPr>
      </w:pPr>
      <w:r>
        <w:rPr>
          <w:b/>
          <w:sz w:val="28"/>
          <w:szCs w:val="28"/>
        </w:rPr>
        <w:t>JUDGE WILLIAM L. THOMAS</w:t>
      </w:r>
    </w:p>
    <w:p w:rsidR="00D113B9" w:rsidRDefault="00D113B9" w:rsidP="00D113B9">
      <w:pPr>
        <w:spacing w:after="0" w:line="240" w:lineRule="auto"/>
        <w:ind w:left="4320" w:firstLine="720"/>
        <w:jc w:val="both"/>
        <w:rPr>
          <w:rFonts w:ascii="Arial" w:hAnsi="Arial" w:cs="Arial"/>
        </w:rPr>
      </w:pPr>
      <w:r>
        <w:rPr>
          <w:rFonts w:ascii="Arial" w:hAnsi="Arial" w:cs="Arial"/>
        </w:rPr>
        <w:t>CIRCUIT COURT JUDGE</w:t>
      </w:r>
    </w:p>
    <w:p w:rsidR="00D113B9" w:rsidRDefault="00D113B9" w:rsidP="00D113B9">
      <w:pPr>
        <w:spacing w:line="480" w:lineRule="auto"/>
        <w:jc w:val="both"/>
        <w:rPr>
          <w:rFonts w:ascii="Arial" w:hAnsi="Arial" w:cs="Arial"/>
        </w:rPr>
      </w:pPr>
    </w:p>
    <w:p w:rsidR="00D113B9" w:rsidRDefault="00D113B9">
      <w:bookmarkStart w:id="0" w:name="_GoBack"/>
      <w:bookmarkEnd w:id="0"/>
    </w:p>
    <w:sectPr w:rsidR="00D11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3B9"/>
    <w:rsid w:val="00D11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B82B20-2BE0-4A19-851B-391ECD3A0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3B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18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462</Words>
  <Characters>2640</Characters>
  <Application>Microsoft Office Word</Application>
  <DocSecurity>0</DocSecurity>
  <Lines>22</Lines>
  <Paragraphs>6</Paragraphs>
  <ScaleCrop>false</ScaleCrop>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Diaz, Andrew</dc:creator>
  <cp:keywords/>
  <dc:description/>
  <cp:lastModifiedBy>Diaz, Andrew</cp:lastModifiedBy>
  <cp:revision>1</cp:revision>
  <dcterms:created xsi:type="dcterms:W3CDTF">2020-01-07T18:19:00Z</dcterms:created>
  <dcterms:modified xsi:type="dcterms:W3CDTF">2020-01-07T18:20:00Z</dcterms:modified>
</cp:coreProperties>
</file>